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5312" w14:textId="77777777" w:rsidR="00AC7718" w:rsidRPr="00770B45" w:rsidRDefault="00C71327">
      <w:pPr>
        <w:tabs>
          <w:tab w:val="center" w:pos="4680"/>
        </w:tabs>
        <w:suppressAutoHyphens/>
        <w:jc w:val="center"/>
        <w:rPr>
          <w:rFonts w:ascii="Arial" w:hAnsi="Arial" w:cs="Arial"/>
          <w:b/>
          <w:spacing w:val="-3"/>
          <w:sz w:val="24"/>
          <w:szCs w:val="24"/>
        </w:rPr>
      </w:pPr>
      <w:r>
        <w:rPr>
          <w:rFonts w:ascii="Arial" w:hAnsi="Arial"/>
          <w:b/>
          <w:sz w:val="24"/>
        </w:rPr>
        <w:t>SPÉCIFICATIONS</w:t>
      </w:r>
    </w:p>
    <w:p w14:paraId="57519076" w14:textId="77777777" w:rsidR="00AC7718" w:rsidRDefault="00C71327">
      <w:pPr>
        <w:pStyle w:val="Heading1"/>
        <w:rPr>
          <w:rFonts w:cs="Arial"/>
          <w:szCs w:val="24"/>
        </w:rPr>
      </w:pPr>
      <w:r>
        <w:t>Section 07900/079500</w:t>
      </w:r>
    </w:p>
    <w:p w14:paraId="6F1FDE2C" w14:textId="4B8536AE" w:rsidR="00E94FC3" w:rsidRPr="00E94FC3" w:rsidRDefault="00C71327" w:rsidP="006A4CC7">
      <w:pPr>
        <w:jc w:val="center"/>
        <w:rPr>
          <w:b/>
        </w:rPr>
      </w:pPr>
      <w:r>
        <w:rPr>
          <w:b/>
        </w:rPr>
        <w:t>Anciennement 05800</w:t>
      </w:r>
    </w:p>
    <w:p w14:paraId="349B3FFC" w14:textId="77777777" w:rsidR="00E94FC3" w:rsidRPr="00E94FC3" w:rsidRDefault="00E94FC3" w:rsidP="00E94FC3"/>
    <w:p w14:paraId="42F28615" w14:textId="77777777" w:rsidR="00AC7718" w:rsidRPr="00770B45" w:rsidRDefault="00AC7718">
      <w:pPr>
        <w:tabs>
          <w:tab w:val="center" w:pos="4680"/>
        </w:tabs>
        <w:suppressAutoHyphens/>
        <w:jc w:val="center"/>
        <w:rPr>
          <w:rFonts w:ascii="Arial" w:hAnsi="Arial" w:cs="Arial"/>
          <w:b/>
          <w:spacing w:val="-3"/>
          <w:sz w:val="24"/>
          <w:szCs w:val="24"/>
        </w:rPr>
      </w:pPr>
    </w:p>
    <w:p w14:paraId="6D0E9DCE" w14:textId="77777777"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b/>
          <w:spacing w:val="-3"/>
          <w:sz w:val="24"/>
          <w:szCs w:val="24"/>
        </w:rPr>
      </w:pPr>
      <w:proofErr w:type="spellStart"/>
      <w:r>
        <w:rPr>
          <w:rFonts w:ascii="Arial" w:hAnsi="Arial"/>
          <w:b/>
          <w:sz w:val="24"/>
        </w:rPr>
        <w:t>Wabo</w:t>
      </w:r>
      <w:r>
        <w:rPr>
          <w:rFonts w:ascii="Arial" w:hAnsi="Arial"/>
          <w:b/>
          <w:sz w:val="24"/>
          <w:vertAlign w:val="superscript"/>
        </w:rPr>
        <w:t>®</w:t>
      </w:r>
      <w:r>
        <w:rPr>
          <w:rFonts w:ascii="Arial" w:hAnsi="Arial"/>
          <w:b/>
          <w:sz w:val="24"/>
        </w:rPr>
        <w:t>SafetyFlex</w:t>
      </w:r>
      <w:proofErr w:type="spellEnd"/>
    </w:p>
    <w:p w14:paraId="64C8E14B" w14:textId="77777777"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b/>
          <w:spacing w:val="-3"/>
          <w:sz w:val="24"/>
          <w:szCs w:val="24"/>
        </w:rPr>
      </w:pPr>
      <w:r>
        <w:rPr>
          <w:rFonts w:ascii="Arial" w:hAnsi="Arial"/>
          <w:b/>
          <w:sz w:val="24"/>
        </w:rPr>
        <w:t xml:space="preserve">Modèle « SFP » </w:t>
      </w:r>
    </w:p>
    <w:p w14:paraId="0977E506" w14:textId="1CA69925"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b/>
          <w:spacing w:val="-3"/>
          <w:sz w:val="24"/>
          <w:szCs w:val="24"/>
        </w:rPr>
      </w:pPr>
      <w:r>
        <w:rPr>
          <w:rFonts w:ascii="Arial" w:hAnsi="Arial"/>
          <w:b/>
          <w:sz w:val="24"/>
        </w:rPr>
        <w:t>Système de</w:t>
      </w:r>
      <w:r w:rsidR="00A4566E">
        <w:rPr>
          <w:rFonts w:ascii="Arial" w:hAnsi="Arial"/>
          <w:b/>
          <w:sz w:val="24"/>
        </w:rPr>
        <w:t xml:space="preserve"> p</w:t>
      </w:r>
      <w:r w:rsidR="00A4566E" w:rsidRPr="00A4566E">
        <w:rPr>
          <w:rFonts w:ascii="Arial" w:hAnsi="Arial"/>
          <w:b/>
          <w:sz w:val="24"/>
        </w:rPr>
        <w:t>laque de recouvrement en caoutchouc à charnière</w:t>
      </w:r>
    </w:p>
    <w:p w14:paraId="5799C46F"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spacing w:val="-3"/>
          <w:sz w:val="24"/>
          <w:szCs w:val="24"/>
        </w:rPr>
      </w:pPr>
    </w:p>
    <w:p w14:paraId="4111CB70" w14:textId="77777777"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b/>
          <w:sz w:val="24"/>
        </w:rPr>
        <w:t>PARTIE 1 – GÉNÉRALITÉS</w:t>
      </w:r>
    </w:p>
    <w:p w14:paraId="62B65DDA"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93B700E" w14:textId="24B04D6E"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1.01 </w:t>
      </w:r>
      <w:r w:rsidR="002865F7">
        <w:rPr>
          <w:rFonts w:ascii="Arial" w:hAnsi="Arial"/>
          <w:sz w:val="24"/>
        </w:rPr>
        <w:tab/>
        <w:t>T</w:t>
      </w:r>
      <w:r>
        <w:rPr>
          <w:rFonts w:ascii="Arial" w:hAnsi="Arial"/>
          <w:sz w:val="24"/>
        </w:rPr>
        <w:t>ravaux inclus</w:t>
      </w:r>
    </w:p>
    <w:p w14:paraId="4846863A"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498414D" w14:textId="08764AA3"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FF3C9C">
        <w:rPr>
          <w:rFonts w:ascii="Arial" w:hAnsi="Arial"/>
          <w:sz w:val="24"/>
        </w:rPr>
        <w:tab/>
      </w:r>
      <w:r>
        <w:rPr>
          <w:rFonts w:ascii="Arial" w:hAnsi="Arial"/>
          <w:sz w:val="24"/>
        </w:rPr>
        <w:t>Les travaux consist</w:t>
      </w:r>
      <w:r w:rsidR="00FF3C9C">
        <w:rPr>
          <w:rFonts w:ascii="Arial" w:hAnsi="Arial"/>
          <w:sz w:val="24"/>
        </w:rPr>
        <w:t>en</w:t>
      </w:r>
      <w:r>
        <w:rPr>
          <w:rFonts w:ascii="Arial" w:hAnsi="Arial"/>
          <w:sz w:val="24"/>
        </w:rPr>
        <w:t xml:space="preserve">t à fournir et installer les systèmes de </w:t>
      </w:r>
      <w:r w:rsidR="007B703C">
        <w:rPr>
          <w:rFonts w:ascii="Arial" w:hAnsi="Arial"/>
          <w:sz w:val="24"/>
        </w:rPr>
        <w:t>plaque de recouvrement en caoutchouc à charnière</w:t>
      </w:r>
      <w:r>
        <w:rPr>
          <w:rFonts w:ascii="Arial" w:hAnsi="Arial"/>
          <w:sz w:val="24"/>
        </w:rPr>
        <w:t xml:space="preserve"> conformément aux détails indiqués sur les plans et aux exigences du devis. Les systèmes de </w:t>
      </w:r>
      <w:r w:rsidR="008444E2">
        <w:rPr>
          <w:rFonts w:ascii="Arial" w:hAnsi="Arial"/>
          <w:sz w:val="24"/>
        </w:rPr>
        <w:t>plaque de recouvrement en caoutchouc à charnière</w:t>
      </w:r>
      <w:r>
        <w:rPr>
          <w:rFonts w:ascii="Arial" w:hAnsi="Arial"/>
          <w:sz w:val="24"/>
        </w:rPr>
        <w:t xml:space="preserve"> sont des conceptions exclusives utilisant des </w:t>
      </w:r>
      <w:r w:rsidR="00366978">
        <w:rPr>
          <w:rFonts w:ascii="Arial" w:hAnsi="Arial"/>
          <w:sz w:val="24"/>
        </w:rPr>
        <w:t>plaques</w:t>
      </w:r>
      <w:r>
        <w:rPr>
          <w:rFonts w:ascii="Arial" w:hAnsi="Arial"/>
          <w:sz w:val="24"/>
        </w:rPr>
        <w:t xml:space="preserve"> en caoutchouc extrudé intégrés à des plaques métalliques indépendantes.</w:t>
      </w:r>
    </w:p>
    <w:p w14:paraId="700E05D4"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65029491" w14:textId="3BFD562D"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B. </w:t>
      </w:r>
      <w:r w:rsidR="00FF3C9C">
        <w:rPr>
          <w:rFonts w:ascii="Arial" w:hAnsi="Arial"/>
          <w:sz w:val="24"/>
        </w:rPr>
        <w:tab/>
      </w:r>
      <w:r>
        <w:rPr>
          <w:rFonts w:ascii="Arial" w:hAnsi="Arial"/>
          <w:sz w:val="24"/>
        </w:rPr>
        <w:t>Travaux connexes</w:t>
      </w:r>
    </w:p>
    <w:p w14:paraId="2F0A76F0" w14:textId="7777777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ab/>
        <w:t>– Béton coulé sur place</w:t>
      </w:r>
    </w:p>
    <w:p w14:paraId="3F819D1E" w14:textId="7777777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ab/>
        <w:t>– Métaux divers et ornementaux</w:t>
      </w:r>
    </w:p>
    <w:p w14:paraId="6A75701F" w14:textId="7777777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ab/>
        <w:t>– Solin et tôle</w:t>
      </w:r>
    </w:p>
    <w:p w14:paraId="365B4881" w14:textId="7777777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ab/>
        <w:t>– Scellants et calfeutrage</w:t>
      </w:r>
    </w:p>
    <w:p w14:paraId="66F93E46"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Arial" w:hAnsi="Arial" w:cs="Arial"/>
          <w:spacing w:val="-3"/>
          <w:sz w:val="24"/>
          <w:szCs w:val="24"/>
        </w:rPr>
      </w:pPr>
    </w:p>
    <w:p w14:paraId="02D6F33A" w14:textId="5DA8DBD7"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1.02 </w:t>
      </w:r>
      <w:r w:rsidR="002865F7">
        <w:rPr>
          <w:rFonts w:ascii="Arial" w:hAnsi="Arial"/>
          <w:sz w:val="24"/>
        </w:rPr>
        <w:tab/>
        <w:t>S</w:t>
      </w:r>
      <w:r>
        <w:rPr>
          <w:rFonts w:ascii="Arial" w:hAnsi="Arial"/>
          <w:sz w:val="24"/>
        </w:rPr>
        <w:t>oumissions</w:t>
      </w:r>
    </w:p>
    <w:p w14:paraId="0B3DABD9"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7F66B04" w14:textId="65AF5F15"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FF3C9C">
        <w:rPr>
          <w:rFonts w:ascii="Arial" w:hAnsi="Arial"/>
          <w:sz w:val="24"/>
        </w:rPr>
        <w:tab/>
      </w:r>
      <w:r>
        <w:rPr>
          <w:rFonts w:ascii="Arial" w:hAnsi="Arial"/>
          <w:sz w:val="24"/>
        </w:rPr>
        <w:t xml:space="preserve">Dessins de modèle – Soumettre des sections transversales types de </w:t>
      </w:r>
      <w:r w:rsidR="00B823F8">
        <w:rPr>
          <w:rFonts w:ascii="Arial" w:hAnsi="Arial"/>
          <w:sz w:val="24"/>
        </w:rPr>
        <w:t>plaque de recouvrement en caoutchouc à charnière</w:t>
      </w:r>
      <w:r>
        <w:rPr>
          <w:rFonts w:ascii="Arial" w:hAnsi="Arial"/>
          <w:sz w:val="24"/>
        </w:rPr>
        <w:t xml:space="preserve"> à indiquant les dimensions, la construction générale, les raccords de composants et les méthodes d’ancrage pertinentes.</w:t>
      </w:r>
    </w:p>
    <w:p w14:paraId="2374585B"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416E526E" w14:textId="32069C56"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1.03 </w:t>
      </w:r>
      <w:r w:rsidR="002865F7">
        <w:rPr>
          <w:rFonts w:ascii="Arial" w:hAnsi="Arial"/>
          <w:sz w:val="24"/>
        </w:rPr>
        <w:tab/>
      </w:r>
      <w:r>
        <w:rPr>
          <w:rFonts w:ascii="Arial" w:hAnsi="Arial"/>
          <w:sz w:val="24"/>
        </w:rPr>
        <w:t>Livraison, entreposage et manutention des produits</w:t>
      </w:r>
    </w:p>
    <w:p w14:paraId="405D28B7"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0EFDDC1" w14:textId="24207885"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FF3C9C">
        <w:rPr>
          <w:rFonts w:ascii="Arial" w:hAnsi="Arial"/>
          <w:sz w:val="24"/>
        </w:rPr>
        <w:tab/>
      </w:r>
      <w:r>
        <w:rPr>
          <w:rFonts w:ascii="Arial" w:hAnsi="Arial"/>
          <w:sz w:val="24"/>
        </w:rPr>
        <w:t>Livrer les produits dans les contenants originaux, intacts et étiquetés de chaque fabricant et les entreposer à l’abri dans un endroit sec jusqu’à leur installation. Entreposer les produits au-dessus du sol, à l’abri des intempéries et des activités de construction.</w:t>
      </w:r>
    </w:p>
    <w:p w14:paraId="1D1B16D2"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p>
    <w:p w14:paraId="33474ABC" w14:textId="42A86D81"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1.04 </w:t>
      </w:r>
      <w:r w:rsidR="002865F7">
        <w:rPr>
          <w:rFonts w:ascii="Arial" w:hAnsi="Arial"/>
          <w:sz w:val="24"/>
        </w:rPr>
        <w:tab/>
      </w:r>
      <w:r>
        <w:rPr>
          <w:rFonts w:ascii="Arial" w:hAnsi="Arial"/>
          <w:sz w:val="24"/>
        </w:rPr>
        <w:t>Fabricant acceptable</w:t>
      </w:r>
    </w:p>
    <w:p w14:paraId="510ADCF9"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28CC0BA8" w14:textId="4A02D5B4"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FF3C9C">
        <w:rPr>
          <w:rFonts w:ascii="Arial" w:hAnsi="Arial"/>
          <w:sz w:val="24"/>
        </w:rPr>
        <w:tab/>
      </w:r>
      <w:r>
        <w:rPr>
          <w:rFonts w:ascii="Arial" w:hAnsi="Arial"/>
          <w:sz w:val="24"/>
        </w:rPr>
        <w:t xml:space="preserve">Tous les systèmes de </w:t>
      </w:r>
      <w:r w:rsidR="007B703C">
        <w:rPr>
          <w:rFonts w:ascii="Arial" w:hAnsi="Arial"/>
          <w:sz w:val="24"/>
        </w:rPr>
        <w:t>plaque de recouvrement en caoutchouc à charnière</w:t>
      </w:r>
      <w:r>
        <w:rPr>
          <w:rFonts w:ascii="Arial" w:hAnsi="Arial"/>
          <w:sz w:val="24"/>
        </w:rPr>
        <w:t xml:space="preserve"> doivent être conçus et fabriqués par Watson Bowman Acme, 95 </w:t>
      </w:r>
      <w:proofErr w:type="spellStart"/>
      <w:r>
        <w:rPr>
          <w:rFonts w:ascii="Arial" w:hAnsi="Arial"/>
          <w:sz w:val="24"/>
        </w:rPr>
        <w:t>Pineview</w:t>
      </w:r>
      <w:proofErr w:type="spellEnd"/>
      <w:r>
        <w:rPr>
          <w:rFonts w:ascii="Arial" w:hAnsi="Arial"/>
          <w:sz w:val="24"/>
        </w:rPr>
        <w:t xml:space="preserve"> Drive, Amherst, New York 14228.</w:t>
      </w:r>
    </w:p>
    <w:p w14:paraId="36E805A5"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p>
    <w:p w14:paraId="7E2D6E11" w14:textId="2E7D415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B. </w:t>
      </w:r>
      <w:r w:rsidR="00FF3C9C">
        <w:rPr>
          <w:rFonts w:ascii="Arial" w:hAnsi="Arial"/>
          <w:sz w:val="24"/>
        </w:rPr>
        <w:tab/>
      </w:r>
      <w:r>
        <w:rPr>
          <w:rFonts w:ascii="Arial" w:hAnsi="Arial"/>
          <w:sz w:val="24"/>
        </w:rPr>
        <w:t xml:space="preserve">Tout autre système proposé doit être soumis et approuvé trente (30) jours avant la soumission. Toutes les soumissions postérieures à l’appel d’offres ne seront </w:t>
      </w:r>
      <w:r>
        <w:rPr>
          <w:rFonts w:ascii="Arial" w:hAnsi="Arial"/>
          <w:sz w:val="24"/>
        </w:rPr>
        <w:lastRenderedPageBreak/>
        <w:t>pas prises en compte. La présente soumission doit être conforme aux MATÉRIAUX ET SUBSTITUTIONS.</w:t>
      </w:r>
    </w:p>
    <w:p w14:paraId="2FE48E4B" w14:textId="77777777" w:rsidR="00AC7718" w:rsidRPr="00770B45" w:rsidRDefault="00C71327">
      <w:pPr>
        <w:tabs>
          <w:tab w:val="left" w:pos="-1440"/>
          <w:tab w:val="left" w:pos="-720"/>
          <w:tab w:val="left" w:pos="0"/>
          <w:tab w:val="left" w:pos="720"/>
          <w:tab w:val="left" w:pos="1350"/>
          <w:tab w:val="left" w:pos="234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80"/>
        <w:jc w:val="both"/>
        <w:rPr>
          <w:rFonts w:ascii="Arial" w:hAnsi="Arial" w:cs="Arial"/>
          <w:spacing w:val="-3"/>
          <w:sz w:val="24"/>
          <w:szCs w:val="24"/>
        </w:rPr>
      </w:pPr>
      <w:r>
        <w:rPr>
          <w:rFonts w:ascii="Arial" w:hAnsi="Arial"/>
          <w:sz w:val="24"/>
        </w:rPr>
        <w:br/>
        <w:t>– Tout fabricant souhaitant soumettre une demande d’approbation préalable doit fournir ce qui suit :</w:t>
      </w:r>
    </w:p>
    <w:p w14:paraId="6E33A07F"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Arial" w:hAnsi="Arial" w:cs="Arial"/>
          <w:spacing w:val="-3"/>
          <w:sz w:val="24"/>
          <w:szCs w:val="24"/>
        </w:rPr>
      </w:pPr>
    </w:p>
    <w:p w14:paraId="4DA10C64" w14:textId="77777777" w:rsidR="00AC7718" w:rsidRPr="00770B45" w:rsidRDefault="00C71327">
      <w:pPr>
        <w:numPr>
          <w:ilvl w:val="0"/>
          <w:numId w:val="1"/>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r>
        <w:rPr>
          <w:rFonts w:ascii="Arial" w:hAnsi="Arial"/>
          <w:sz w:val="24"/>
        </w:rPr>
        <w:t>Un échantillon fonctionnel de trois (3) pieds du système proposé avec une lettre décrivant comment le système est considéré comme supérieur au système indiqué.</w:t>
      </w:r>
    </w:p>
    <w:p w14:paraId="366533AB" w14:textId="77777777" w:rsidR="00AC7718" w:rsidRPr="00770B45" w:rsidRDefault="00AC7718">
      <w:pPr>
        <w:numPr>
          <w:ilvl w:val="12"/>
          <w:numId w:val="0"/>
        </w:numPr>
        <w:tabs>
          <w:tab w:val="left" w:pos="-1440"/>
          <w:tab w:val="left" w:pos="-720"/>
          <w:tab w:val="left" w:pos="0"/>
          <w:tab w:val="left" w:pos="720"/>
          <w:tab w:val="left" w:pos="180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p>
    <w:p w14:paraId="637BEAB4" w14:textId="1DEB2B36" w:rsidR="00AC7718" w:rsidRPr="00770B45" w:rsidRDefault="00C71327">
      <w:pPr>
        <w:numPr>
          <w:ilvl w:val="0"/>
          <w:numId w:val="1"/>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r>
        <w:rPr>
          <w:rFonts w:ascii="Arial" w:hAnsi="Arial"/>
          <w:sz w:val="24"/>
        </w:rPr>
        <w:t xml:space="preserve">Une lettre d’un laboratoire indépendant approuvé indiquant que les propriétés physiques et que la conception du produit proposé </w:t>
      </w:r>
      <w:r w:rsidR="00232FAB">
        <w:rPr>
          <w:rFonts w:ascii="Arial" w:hAnsi="Arial"/>
          <w:sz w:val="24"/>
        </w:rPr>
        <w:t>répond</w:t>
      </w:r>
      <w:r>
        <w:rPr>
          <w:rFonts w:ascii="Arial" w:hAnsi="Arial"/>
          <w:sz w:val="24"/>
        </w:rPr>
        <w:t xml:space="preserve"> aux exigences de la spécification du projet.</w:t>
      </w:r>
    </w:p>
    <w:p w14:paraId="23E7F573" w14:textId="77777777" w:rsidR="00AC7718" w:rsidRPr="00770B45" w:rsidRDefault="00AC7718">
      <w:pPr>
        <w:numPr>
          <w:ilvl w:val="12"/>
          <w:numId w:val="0"/>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p>
    <w:p w14:paraId="14C01280" w14:textId="77777777" w:rsidR="00AC7718" w:rsidRPr="00770B45" w:rsidRDefault="00C71327">
      <w:pPr>
        <w:numPr>
          <w:ilvl w:val="0"/>
          <w:numId w:val="1"/>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r>
        <w:rPr>
          <w:rFonts w:ascii="Arial" w:hAnsi="Arial"/>
          <w:sz w:val="24"/>
        </w:rPr>
        <w:t>Un dessin de proposition de projet qui illustre le système de rechange recommandé installé dans le tablier en béton propre au projet. Les sections de catalogue types ne seront pas prises en compte.</w:t>
      </w:r>
    </w:p>
    <w:p w14:paraId="2792642F" w14:textId="77777777" w:rsidR="00AC7718" w:rsidRPr="00770B45" w:rsidRDefault="00AC7718">
      <w:pPr>
        <w:numPr>
          <w:ilvl w:val="12"/>
          <w:numId w:val="0"/>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p>
    <w:p w14:paraId="361A34F1" w14:textId="77777777" w:rsidR="00AC7718" w:rsidRPr="00770B45" w:rsidRDefault="00C71327">
      <w:pPr>
        <w:numPr>
          <w:ilvl w:val="0"/>
          <w:numId w:val="1"/>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r>
        <w:rPr>
          <w:rFonts w:ascii="Arial" w:hAnsi="Arial"/>
          <w:sz w:val="24"/>
        </w:rPr>
        <w:t>Une liste vérifiable des installations antérieures démontrant une expérience réussie avec les systèmes proposés.</w:t>
      </w:r>
    </w:p>
    <w:p w14:paraId="266DE189" w14:textId="77777777" w:rsidR="00AC7718" w:rsidRPr="00770B45" w:rsidRDefault="00AC7718">
      <w:pPr>
        <w:numPr>
          <w:ilvl w:val="12"/>
          <w:numId w:val="0"/>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p>
    <w:p w14:paraId="60721265" w14:textId="77777777" w:rsidR="00AC7718" w:rsidRPr="00770B45" w:rsidRDefault="00C71327">
      <w:pPr>
        <w:numPr>
          <w:ilvl w:val="0"/>
          <w:numId w:val="1"/>
        </w:numPr>
        <w:tabs>
          <w:tab w:val="left" w:pos="-1440"/>
          <w:tab w:val="left" w:pos="-720"/>
          <w:tab w:val="left" w:pos="0"/>
          <w:tab w:val="left" w:pos="720"/>
          <w:tab w:val="left" w:pos="180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360"/>
        <w:jc w:val="both"/>
        <w:rPr>
          <w:rFonts w:ascii="Arial" w:hAnsi="Arial" w:cs="Arial"/>
          <w:spacing w:val="-3"/>
          <w:sz w:val="24"/>
          <w:szCs w:val="24"/>
        </w:rPr>
      </w:pPr>
      <w:r>
        <w:rPr>
          <w:rFonts w:ascii="Arial" w:hAnsi="Arial"/>
          <w:sz w:val="24"/>
        </w:rPr>
        <w:t xml:space="preserve">Les produits de substitution qui ne respectent pas toutes les exigences des spécifications ne seront pas pris en compte.   </w:t>
      </w:r>
    </w:p>
    <w:p w14:paraId="13388D6D" w14:textId="77777777" w:rsidR="00AC7718" w:rsidRPr="00770B45" w:rsidRDefault="00AC7718">
      <w:pPr>
        <w:tabs>
          <w:tab w:val="left" w:pos="-1440"/>
          <w:tab w:val="left" w:pos="-720"/>
          <w:tab w:val="left" w:pos="0"/>
          <w:tab w:val="left" w:pos="72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hanging="540"/>
        <w:jc w:val="both"/>
        <w:rPr>
          <w:rFonts w:ascii="Arial" w:hAnsi="Arial" w:cs="Arial"/>
          <w:spacing w:val="-3"/>
          <w:sz w:val="24"/>
          <w:szCs w:val="24"/>
        </w:rPr>
      </w:pPr>
    </w:p>
    <w:p w14:paraId="5F3AA0DA" w14:textId="77777777" w:rsidR="00BB6D95" w:rsidRDefault="00C71327" w:rsidP="00BB6D95">
      <w:pPr>
        <w:numPr>
          <w:ilvl w:val="0"/>
          <w:numId w:val="2"/>
        </w:numPr>
        <w:tabs>
          <w:tab w:val="clear" w:pos="360"/>
          <w:tab w:val="left" w:pos="-1440"/>
          <w:tab w:val="left" w:pos="-720"/>
          <w:tab w:val="left" w:pos="0"/>
          <w:tab w:val="left" w:pos="1260"/>
          <w:tab w:val="num" w:pos="135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Il est présumé par le prescripteur que les soumissionnaires fourniront les matériaux indiqués </w:t>
      </w:r>
      <w:r w:rsidR="001D52E0">
        <w:rPr>
          <w:rFonts w:ascii="Arial" w:hAnsi="Arial"/>
          <w:sz w:val="24"/>
        </w:rPr>
        <w:t>dans la</w:t>
      </w:r>
      <w:r>
        <w:rPr>
          <w:rFonts w:ascii="Arial" w:hAnsi="Arial"/>
          <w:sz w:val="24"/>
        </w:rPr>
        <w:t xml:space="preserve"> spécification</w:t>
      </w:r>
      <w:r w:rsidR="001D52E0">
        <w:rPr>
          <w:rFonts w:ascii="Arial" w:hAnsi="Arial"/>
          <w:sz w:val="24"/>
        </w:rPr>
        <w:t xml:space="preserve"> à la</w:t>
      </w:r>
      <w:r>
        <w:rPr>
          <w:rFonts w:ascii="Arial" w:hAnsi="Arial"/>
          <w:sz w:val="24"/>
        </w:rPr>
        <w:t xml:space="preserve"> Section 0</w:t>
      </w:r>
      <w:r w:rsidR="004B421C">
        <w:rPr>
          <w:rFonts w:ascii="Arial" w:hAnsi="Arial"/>
          <w:sz w:val="24"/>
        </w:rPr>
        <w:t>7</w:t>
      </w:r>
      <w:r w:rsidR="007E299B">
        <w:rPr>
          <w:rFonts w:ascii="Arial" w:hAnsi="Arial"/>
          <w:sz w:val="24"/>
        </w:rPr>
        <w:t xml:space="preserve"> </w:t>
      </w:r>
      <w:r w:rsidR="004B421C">
        <w:rPr>
          <w:rFonts w:ascii="Arial" w:hAnsi="Arial"/>
          <w:sz w:val="24"/>
        </w:rPr>
        <w:t>95</w:t>
      </w:r>
      <w:r w:rsidR="007E299B">
        <w:rPr>
          <w:rFonts w:ascii="Arial" w:hAnsi="Arial"/>
          <w:sz w:val="24"/>
        </w:rPr>
        <w:t xml:space="preserve"> </w:t>
      </w:r>
      <w:r>
        <w:rPr>
          <w:rFonts w:ascii="Arial" w:hAnsi="Arial"/>
          <w:sz w:val="24"/>
        </w:rPr>
        <w:t>00 et dans les sections connexes, à moins que les soumissionnaires ne précisent clairement dans leur soumission leur intention d’utiliser un autre matériel.</w:t>
      </w:r>
    </w:p>
    <w:p w14:paraId="2CC7560D" w14:textId="77777777" w:rsidR="00BB6D95" w:rsidRDefault="00BB6D95" w:rsidP="00BB6D95">
      <w:pPr>
        <w:tabs>
          <w:tab w:val="left" w:pos="-1440"/>
          <w:tab w:val="left" w:pos="-720"/>
          <w:tab w:val="left" w:pos="0"/>
          <w:tab w:val="left" w:pos="126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cs="Arial"/>
          <w:spacing w:val="-3"/>
          <w:sz w:val="24"/>
          <w:szCs w:val="24"/>
        </w:rPr>
      </w:pPr>
    </w:p>
    <w:p w14:paraId="0F7EAECA" w14:textId="77777777" w:rsidR="00BB6D95" w:rsidRDefault="00C71327" w:rsidP="00BB6D95">
      <w:pPr>
        <w:tabs>
          <w:tab w:val="left" w:pos="-1440"/>
          <w:tab w:val="left" w:pos="-720"/>
          <w:tab w:val="left" w:pos="0"/>
          <w:tab w:val="left" w:pos="126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sz w:val="24"/>
        </w:rPr>
      </w:pPr>
      <w:r w:rsidRPr="00BB6D95">
        <w:rPr>
          <w:rFonts w:ascii="Arial" w:hAnsi="Arial"/>
          <w:sz w:val="24"/>
        </w:rPr>
        <w:t>Le soumissionnaire doit autrement présenter clairement avec la soumission les produits particuliers sur lesquels la soumission est fondée. Lors de l’attribution du projet, le soumissionnaire devra utiliser les produits stipulés dans sa soumission.</w:t>
      </w:r>
    </w:p>
    <w:p w14:paraId="3A9B805E" w14:textId="77777777" w:rsidR="00BB6D95" w:rsidRDefault="00BB6D95" w:rsidP="00BB6D95">
      <w:pPr>
        <w:tabs>
          <w:tab w:val="left" w:pos="-1440"/>
          <w:tab w:val="left" w:pos="-720"/>
          <w:tab w:val="left" w:pos="0"/>
          <w:tab w:val="left" w:pos="126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sz w:val="24"/>
        </w:rPr>
      </w:pPr>
    </w:p>
    <w:p w14:paraId="16F2D632" w14:textId="346C523B" w:rsidR="00AC7718" w:rsidRPr="00770B45" w:rsidRDefault="00C71327" w:rsidP="00BB6D95">
      <w:pPr>
        <w:tabs>
          <w:tab w:val="left" w:pos="-1440"/>
          <w:tab w:val="left" w:pos="-720"/>
          <w:tab w:val="left" w:pos="0"/>
          <w:tab w:val="left" w:pos="126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cs="Arial"/>
          <w:spacing w:val="-3"/>
          <w:sz w:val="24"/>
          <w:szCs w:val="24"/>
        </w:rPr>
      </w:pPr>
      <w:r>
        <w:rPr>
          <w:rFonts w:ascii="Arial" w:hAnsi="Arial"/>
          <w:sz w:val="24"/>
        </w:rPr>
        <w:t>Le prescripteur se réserve le droit d’exiger que tout soumissionnaire soumette des renseignements supplémentaires après l’ouverture des soumissions avant d’approuver les solutions de rechange. Un soumissionnaire ayant l’intention d’utiliser un autre système ne sera pas admissible à remporter la soumission à moins que les renseignements justificatifs aient été soumis au prescripteur à l’ouverture de la soumission et approuvés avant l’attribution.</w:t>
      </w:r>
    </w:p>
    <w:p w14:paraId="7D1009F0" w14:textId="1D7366E7" w:rsidR="00AC7718" w:rsidRDefault="00AC7718">
      <w:pPr>
        <w:tabs>
          <w:tab w:val="left" w:pos="-1440"/>
          <w:tab w:val="left" w:pos="-720"/>
          <w:tab w:val="left" w:pos="0"/>
          <w:tab w:val="left" w:pos="144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4F55FC8C" w14:textId="44281555" w:rsidR="002865F7" w:rsidRDefault="00C45270" w:rsidP="00BB6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sz w:val="24"/>
        </w:rPr>
      </w:pPr>
      <w:r w:rsidRPr="00C45270">
        <w:rPr>
          <w:rFonts w:ascii="Arial" w:hAnsi="Arial"/>
          <w:sz w:val="24"/>
        </w:rPr>
        <w:t>1.05</w:t>
      </w:r>
      <w:r w:rsidR="00BB6D95">
        <w:rPr>
          <w:rFonts w:ascii="Arial" w:hAnsi="Arial"/>
          <w:sz w:val="24"/>
        </w:rPr>
        <w:tab/>
      </w:r>
      <w:r w:rsidRPr="00C45270">
        <w:rPr>
          <w:rFonts w:ascii="Arial" w:hAnsi="Arial"/>
          <w:sz w:val="24"/>
        </w:rPr>
        <w:t>Assurance de la qualité</w:t>
      </w:r>
    </w:p>
    <w:p w14:paraId="128B721A" w14:textId="77777777" w:rsidR="00C45270" w:rsidRPr="00C45270" w:rsidRDefault="00C45270" w:rsidP="00C45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1080"/>
        <w:jc w:val="both"/>
        <w:rPr>
          <w:rFonts w:ascii="Arial" w:hAnsi="Arial"/>
          <w:sz w:val="24"/>
        </w:rPr>
      </w:pPr>
    </w:p>
    <w:p w14:paraId="653246F0" w14:textId="5B813599" w:rsidR="00A63042" w:rsidRDefault="00C71327" w:rsidP="00BB6D95">
      <w:pPr>
        <w:numPr>
          <w:ilvl w:val="0"/>
          <w:numId w:val="17"/>
        </w:numPr>
        <w:spacing w:after="120"/>
        <w:ind w:left="1260"/>
        <w:jc w:val="both"/>
        <w:rPr>
          <w:rFonts w:ascii="Arial" w:hAnsi="Arial"/>
          <w:sz w:val="24"/>
        </w:rPr>
      </w:pPr>
      <w:r>
        <w:rPr>
          <w:rFonts w:ascii="Arial" w:hAnsi="Arial"/>
          <w:sz w:val="24"/>
        </w:rPr>
        <w:t xml:space="preserve">Fabricant : Doit être certifié ISO-9001:2008, RC14001:2008 et doit fournir une confirmation écrite qu’un système officiel de gestion de la qualité et des processus de qualité ont été adoptés dans les domaines (sans s’y limiter) de l’ingénierie, de la fabrication, du contrôle de la qualité et du service à la clientèle pour tous les processus, produits et leurs composants. D’autres fabricants seront considérés à condition qu’ils soumettent une preuve écrite attestant qu’ils </w:t>
      </w:r>
      <w:r>
        <w:rPr>
          <w:rFonts w:ascii="Arial" w:hAnsi="Arial"/>
          <w:sz w:val="24"/>
        </w:rPr>
        <w:lastRenderedPageBreak/>
        <w:t>sont certifiés ISO 9001:2008, RC14001:2008 avant la date de soumission du projet. Les fabricants en voie d’obtenir la certification ne seront pas pris en compte.</w:t>
      </w:r>
    </w:p>
    <w:p w14:paraId="06F20D38" w14:textId="77777777" w:rsidR="00BB6D95" w:rsidRDefault="00BB6D95" w:rsidP="00BB6D95">
      <w:pPr>
        <w:spacing w:after="120"/>
        <w:ind w:left="1260"/>
        <w:jc w:val="both"/>
        <w:rPr>
          <w:rFonts w:ascii="Arial" w:hAnsi="Arial"/>
          <w:sz w:val="24"/>
        </w:rPr>
      </w:pPr>
    </w:p>
    <w:p w14:paraId="4F1283F1" w14:textId="0372E96A" w:rsidR="00CA70D0" w:rsidRPr="00FF3C9C" w:rsidRDefault="00C71327" w:rsidP="00A63042">
      <w:pPr>
        <w:numPr>
          <w:ilvl w:val="0"/>
          <w:numId w:val="17"/>
        </w:numPr>
        <w:spacing w:after="120"/>
        <w:ind w:left="1260"/>
        <w:jc w:val="both"/>
        <w:rPr>
          <w:rFonts w:ascii="Arial" w:hAnsi="Arial" w:cs="Arial"/>
          <w:sz w:val="24"/>
          <w:szCs w:val="24"/>
        </w:rPr>
      </w:pPr>
      <w:r w:rsidRPr="00A63042">
        <w:rPr>
          <w:rFonts w:ascii="Arial" w:hAnsi="Arial"/>
          <w:sz w:val="24"/>
        </w:rPr>
        <w:t xml:space="preserve">Garantie : Le système de </w:t>
      </w:r>
      <w:r w:rsidR="007B703C">
        <w:rPr>
          <w:rFonts w:ascii="Arial" w:hAnsi="Arial"/>
          <w:sz w:val="24"/>
        </w:rPr>
        <w:t>plaque de recouvrement en caoutchouc à charnière</w:t>
      </w:r>
      <w:r w:rsidRPr="00A63042">
        <w:rPr>
          <w:rFonts w:ascii="Arial" w:hAnsi="Arial"/>
          <w:sz w:val="24"/>
        </w:rPr>
        <w:t xml:space="preserve"> doit être</w:t>
      </w:r>
      <w:r>
        <w:rPr>
          <w:rFonts w:ascii="Arial" w:hAnsi="Arial"/>
          <w:sz w:val="24"/>
        </w:rPr>
        <w:t xml:space="preserve"> garanti pendant une période d’un (1) an pour une utilisation normale dans la circulation, dans les limites de mouvement indiquées et dans les conditions de conception décrites par le fabricant. La garantie </w:t>
      </w:r>
      <w:r w:rsidR="00C45270">
        <w:rPr>
          <w:rFonts w:ascii="Arial" w:hAnsi="Arial"/>
          <w:sz w:val="24"/>
        </w:rPr>
        <w:t>d’un</w:t>
      </w:r>
      <w:r>
        <w:rPr>
          <w:rFonts w:ascii="Arial" w:hAnsi="Arial"/>
          <w:sz w:val="24"/>
        </w:rPr>
        <w:t xml:space="preserve"> (1) an fournie ne couvre que les matériaux. Le fabricant fournira tout le matériel nécessaire pour réparer ou remplacer correctement le produit défectueux ou endommagé pendant la durée de la garantie.</w:t>
      </w:r>
    </w:p>
    <w:p w14:paraId="5B3C2E1A" w14:textId="77777777" w:rsidR="00FF3C9C" w:rsidRPr="00770B45" w:rsidRDefault="00FF3C9C" w:rsidP="00FF3C9C">
      <w:pPr>
        <w:pStyle w:val="BodyTextIndent"/>
        <w:numPr>
          <w:ilvl w:val="0"/>
          <w:numId w:val="0"/>
        </w:numPr>
        <w:tabs>
          <w:tab w:val="clear" w:pos="1260"/>
          <w:tab w:val="clear" w:pos="2430"/>
          <w:tab w:val="left" w:pos="1080"/>
        </w:tabs>
        <w:ind w:left="1080"/>
        <w:rPr>
          <w:rFonts w:ascii="Arial" w:hAnsi="Arial" w:cs="Arial"/>
          <w:sz w:val="24"/>
          <w:szCs w:val="24"/>
        </w:rPr>
      </w:pPr>
    </w:p>
    <w:p w14:paraId="145C9609" w14:textId="16E4D0B8" w:rsidR="00CA70D0" w:rsidRDefault="00C71327" w:rsidP="00A63042">
      <w:pPr>
        <w:numPr>
          <w:ilvl w:val="0"/>
          <w:numId w:val="17"/>
        </w:numPr>
        <w:spacing w:after="120"/>
        <w:ind w:left="1260"/>
        <w:jc w:val="both"/>
        <w:rPr>
          <w:rFonts w:ascii="Arial" w:hAnsi="Arial"/>
          <w:sz w:val="24"/>
        </w:rPr>
      </w:pPr>
      <w:r>
        <w:rPr>
          <w:rFonts w:ascii="Arial" w:hAnsi="Arial"/>
          <w:sz w:val="24"/>
        </w:rPr>
        <w:t xml:space="preserve">Fabricant : Doit posséder au moins dix (10) ans d’expérience spécialisée dans la fabrication de systèmes de </w:t>
      </w:r>
      <w:r w:rsidR="007B703C">
        <w:rPr>
          <w:rFonts w:ascii="Arial" w:hAnsi="Arial"/>
          <w:sz w:val="24"/>
        </w:rPr>
        <w:t>plaque de recouvrement en caoutchouc à charnière</w:t>
      </w:r>
      <w:r>
        <w:rPr>
          <w:rFonts w:ascii="Arial" w:hAnsi="Arial"/>
          <w:sz w:val="24"/>
        </w:rPr>
        <w:t xml:space="preserve"> pour joints de dilatation.  Une vérification de l’expérience sera requise.</w:t>
      </w:r>
    </w:p>
    <w:p w14:paraId="00740959" w14:textId="77777777" w:rsidR="00A63042" w:rsidRDefault="00A63042" w:rsidP="00A63042">
      <w:pPr>
        <w:spacing w:after="120"/>
        <w:ind w:left="1080"/>
        <w:jc w:val="both"/>
        <w:rPr>
          <w:rFonts w:ascii="Arial" w:hAnsi="Arial" w:cs="Arial"/>
          <w:sz w:val="24"/>
          <w:szCs w:val="24"/>
        </w:rPr>
      </w:pPr>
    </w:p>
    <w:p w14:paraId="3EF496CF" w14:textId="5680A9A4" w:rsidR="00CA70D0" w:rsidRDefault="00C71327" w:rsidP="00A63042">
      <w:pPr>
        <w:numPr>
          <w:ilvl w:val="0"/>
          <w:numId w:val="17"/>
        </w:numPr>
        <w:spacing w:after="120"/>
        <w:ind w:left="1260"/>
        <w:jc w:val="both"/>
        <w:rPr>
          <w:rFonts w:ascii="Arial" w:hAnsi="Arial"/>
          <w:sz w:val="24"/>
        </w:rPr>
      </w:pPr>
      <w:r>
        <w:rPr>
          <w:rFonts w:ascii="Arial" w:hAnsi="Arial"/>
          <w:sz w:val="24"/>
        </w:rPr>
        <w:t>Produits : Les systèmes de contrôle de la dilatation doivent être installés avec les matériaux de réparation et d’obturation du fabricant.</w:t>
      </w:r>
    </w:p>
    <w:p w14:paraId="1BC10244" w14:textId="77777777" w:rsidR="00A63042" w:rsidRDefault="00A63042" w:rsidP="00A63042">
      <w:pPr>
        <w:spacing w:after="120"/>
        <w:jc w:val="both"/>
        <w:rPr>
          <w:rFonts w:ascii="Arial" w:hAnsi="Arial" w:cs="Arial"/>
          <w:sz w:val="24"/>
          <w:szCs w:val="24"/>
        </w:rPr>
      </w:pPr>
    </w:p>
    <w:p w14:paraId="484A5E3D" w14:textId="59C1751D" w:rsidR="00CA70D0" w:rsidRPr="00CA70D0" w:rsidRDefault="00C71327" w:rsidP="00CA70D0">
      <w:pPr>
        <w:spacing w:after="120"/>
        <w:ind w:left="1260" w:hanging="540"/>
        <w:jc w:val="both"/>
        <w:rPr>
          <w:rFonts w:ascii="Arial" w:hAnsi="Arial" w:cs="Arial"/>
          <w:sz w:val="24"/>
          <w:szCs w:val="24"/>
        </w:rPr>
      </w:pPr>
      <w:r>
        <w:rPr>
          <w:rFonts w:ascii="Arial" w:hAnsi="Arial"/>
          <w:sz w:val="24"/>
        </w:rPr>
        <w:t xml:space="preserve">E. </w:t>
      </w:r>
      <w:r w:rsidR="00FF3C9C">
        <w:rPr>
          <w:rFonts w:ascii="Arial" w:hAnsi="Arial"/>
          <w:sz w:val="24"/>
        </w:rPr>
        <w:tab/>
      </w:r>
      <w:r>
        <w:rPr>
          <w:rFonts w:ascii="Arial" w:hAnsi="Arial"/>
          <w:sz w:val="24"/>
        </w:rPr>
        <w:t xml:space="preserve">Application : Le ou les systèmes de contrôle de la dilatation indiqués doivent être installés par l’installateur formé en usine du fabricant.  </w:t>
      </w:r>
    </w:p>
    <w:p w14:paraId="680E183C" w14:textId="77777777" w:rsidR="00AC7718" w:rsidRPr="00770B45" w:rsidRDefault="00AC7718">
      <w:pPr>
        <w:jc w:val="both"/>
        <w:rPr>
          <w:rFonts w:ascii="Arial" w:hAnsi="Arial" w:cs="Arial"/>
          <w:b/>
          <w:sz w:val="24"/>
          <w:szCs w:val="24"/>
        </w:rPr>
      </w:pPr>
    </w:p>
    <w:p w14:paraId="7FC499F9" w14:textId="77777777" w:rsidR="00AC7718" w:rsidRPr="00770B45" w:rsidRDefault="00C71327">
      <w:pPr>
        <w:jc w:val="both"/>
        <w:rPr>
          <w:rFonts w:ascii="Arial" w:hAnsi="Arial" w:cs="Arial"/>
          <w:b/>
          <w:sz w:val="24"/>
          <w:szCs w:val="24"/>
        </w:rPr>
      </w:pPr>
      <w:r>
        <w:rPr>
          <w:rFonts w:ascii="Arial" w:hAnsi="Arial"/>
          <w:b/>
          <w:sz w:val="24"/>
        </w:rPr>
        <w:t>PARTIE 2 – PRODUIT</w:t>
      </w:r>
    </w:p>
    <w:p w14:paraId="3453E00A" w14:textId="77777777" w:rsidR="00AC7718" w:rsidRPr="00770B45" w:rsidRDefault="00AC7718">
      <w:pPr>
        <w:jc w:val="both"/>
        <w:rPr>
          <w:rFonts w:ascii="Arial" w:hAnsi="Arial" w:cs="Arial"/>
          <w:b/>
          <w:sz w:val="24"/>
          <w:szCs w:val="24"/>
        </w:rPr>
      </w:pPr>
    </w:p>
    <w:p w14:paraId="10C6BFC5" w14:textId="51371443" w:rsidR="00AC7718" w:rsidRPr="00770B45" w:rsidRDefault="00C71327">
      <w:pPr>
        <w:jc w:val="both"/>
        <w:rPr>
          <w:rFonts w:ascii="Arial" w:hAnsi="Arial" w:cs="Arial"/>
          <w:sz w:val="24"/>
          <w:szCs w:val="24"/>
        </w:rPr>
      </w:pPr>
      <w:r>
        <w:rPr>
          <w:rFonts w:ascii="Arial" w:hAnsi="Arial"/>
          <w:sz w:val="24"/>
        </w:rPr>
        <w:t xml:space="preserve">2.01 </w:t>
      </w:r>
      <w:r w:rsidR="00A63042">
        <w:rPr>
          <w:rFonts w:ascii="Arial" w:hAnsi="Arial"/>
          <w:sz w:val="24"/>
        </w:rPr>
        <w:tab/>
      </w:r>
      <w:r>
        <w:rPr>
          <w:rFonts w:ascii="Arial" w:hAnsi="Arial"/>
          <w:sz w:val="24"/>
        </w:rPr>
        <w:t xml:space="preserve">Généralités </w:t>
      </w:r>
    </w:p>
    <w:p w14:paraId="33B79DC4" w14:textId="77777777" w:rsidR="00AC7718" w:rsidRPr="00770B45" w:rsidRDefault="00AC7718">
      <w:pPr>
        <w:jc w:val="both"/>
        <w:rPr>
          <w:rFonts w:ascii="Arial" w:hAnsi="Arial" w:cs="Arial"/>
          <w:sz w:val="24"/>
          <w:szCs w:val="24"/>
        </w:rPr>
      </w:pPr>
    </w:p>
    <w:p w14:paraId="262C40B2" w14:textId="323BF2B5"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A.</w:t>
      </w:r>
      <w:r w:rsidR="00A63042">
        <w:rPr>
          <w:rFonts w:ascii="Arial" w:hAnsi="Arial"/>
          <w:sz w:val="24"/>
        </w:rPr>
        <w:tab/>
      </w:r>
      <w:r>
        <w:rPr>
          <w:rFonts w:ascii="Arial" w:hAnsi="Arial"/>
          <w:sz w:val="24"/>
        </w:rPr>
        <w:t xml:space="preserve">Fournir un système de </w:t>
      </w:r>
      <w:r w:rsidR="007B703C">
        <w:rPr>
          <w:rFonts w:ascii="Arial" w:hAnsi="Arial"/>
          <w:sz w:val="24"/>
        </w:rPr>
        <w:t>plaque de recouvrement en caoutchouc à charnière</w:t>
      </w:r>
      <w:r>
        <w:rPr>
          <w:rFonts w:ascii="Arial" w:hAnsi="Arial"/>
          <w:sz w:val="24"/>
        </w:rPr>
        <w:t xml:space="preserve"> capable de couvrir l’ouverture du joint en fonction des exigences de mouvement. Fournissant une transition sécuritaire sur les cavités naturelles créées par les </w:t>
      </w:r>
      <w:r w:rsidR="00152206">
        <w:rPr>
          <w:rFonts w:ascii="Arial" w:hAnsi="Arial"/>
          <w:sz w:val="24"/>
        </w:rPr>
        <w:t>clé</w:t>
      </w:r>
      <w:r w:rsidR="007927B4">
        <w:rPr>
          <w:rFonts w:ascii="Arial" w:hAnsi="Arial"/>
          <w:sz w:val="24"/>
        </w:rPr>
        <w:t>s</w:t>
      </w:r>
      <w:r w:rsidR="00152206">
        <w:rPr>
          <w:rFonts w:ascii="Arial" w:hAnsi="Arial"/>
          <w:sz w:val="24"/>
        </w:rPr>
        <w:t xml:space="preserve"> de </w:t>
      </w:r>
      <w:r>
        <w:rPr>
          <w:rFonts w:ascii="Arial" w:hAnsi="Arial"/>
          <w:sz w:val="24"/>
        </w:rPr>
        <w:t xml:space="preserve">joint et </w:t>
      </w:r>
      <w:r w:rsidR="00152206">
        <w:rPr>
          <w:rFonts w:ascii="Arial" w:hAnsi="Arial"/>
          <w:sz w:val="24"/>
        </w:rPr>
        <w:t>joint</w:t>
      </w:r>
      <w:r w:rsidR="00021EA5">
        <w:rPr>
          <w:rFonts w:ascii="Arial" w:hAnsi="Arial"/>
          <w:sz w:val="24"/>
        </w:rPr>
        <w:t>s</w:t>
      </w:r>
      <w:r w:rsidR="00152206">
        <w:rPr>
          <w:rFonts w:ascii="Arial" w:hAnsi="Arial"/>
          <w:sz w:val="24"/>
        </w:rPr>
        <w:t xml:space="preserve"> de </w:t>
      </w:r>
      <w:r>
        <w:rPr>
          <w:rFonts w:ascii="Arial" w:hAnsi="Arial"/>
          <w:sz w:val="24"/>
        </w:rPr>
        <w:t xml:space="preserve">dilatation </w:t>
      </w:r>
      <w:r w:rsidR="00152206">
        <w:rPr>
          <w:rFonts w:ascii="Arial" w:hAnsi="Arial"/>
          <w:sz w:val="24"/>
        </w:rPr>
        <w:t>en retrait</w:t>
      </w:r>
      <w:r>
        <w:rPr>
          <w:rFonts w:ascii="Arial" w:hAnsi="Arial"/>
          <w:sz w:val="24"/>
        </w:rPr>
        <w:t xml:space="preserve">. Le système crée une transition en douceur entre les dalles opposées </w:t>
      </w:r>
      <w:r w:rsidR="000A59AB">
        <w:rPr>
          <w:rFonts w:ascii="Arial" w:hAnsi="Arial"/>
          <w:sz w:val="24"/>
        </w:rPr>
        <w:t xml:space="preserve">lors </w:t>
      </w:r>
      <w:r w:rsidR="00021EA5">
        <w:rPr>
          <w:rFonts w:ascii="Arial" w:hAnsi="Arial"/>
          <w:sz w:val="24"/>
        </w:rPr>
        <w:t>en cas de</w:t>
      </w:r>
      <w:r w:rsidR="000A59AB">
        <w:rPr>
          <w:rFonts w:ascii="Arial" w:hAnsi="Arial"/>
          <w:sz w:val="24"/>
        </w:rPr>
        <w:t xml:space="preserve"> </w:t>
      </w:r>
      <w:r>
        <w:rPr>
          <w:rFonts w:ascii="Arial" w:hAnsi="Arial"/>
          <w:sz w:val="24"/>
        </w:rPr>
        <w:t xml:space="preserve">déplacement vertical. Le système emploie un éthylène propylène diène monomère (EPDM) extrudé avec des plaques indépendantes en acier pour le renforcement. Lorsqu’ils sont installés sur une surface plane, les produits </w:t>
      </w:r>
      <w:proofErr w:type="spellStart"/>
      <w:r>
        <w:rPr>
          <w:rFonts w:ascii="Arial" w:hAnsi="Arial"/>
          <w:sz w:val="24"/>
        </w:rPr>
        <w:t>Wabo</w:t>
      </w:r>
      <w:r>
        <w:rPr>
          <w:rFonts w:ascii="Arial" w:hAnsi="Arial"/>
          <w:sz w:val="24"/>
          <w:vertAlign w:val="superscript"/>
        </w:rPr>
        <w:t>®</w:t>
      </w:r>
      <w:r>
        <w:rPr>
          <w:rFonts w:ascii="Arial" w:hAnsi="Arial"/>
          <w:sz w:val="24"/>
        </w:rPr>
        <w:t>SafetyFlex</w:t>
      </w:r>
      <w:proofErr w:type="spellEnd"/>
      <w:r>
        <w:rPr>
          <w:rFonts w:ascii="Arial" w:hAnsi="Arial"/>
          <w:sz w:val="24"/>
        </w:rPr>
        <w:t xml:space="preserve"> doivent être conformes aux lignes directrices de l’ADA. Installer tous les composants en utilisant les fixations recommandées pour une installation complète.</w:t>
      </w:r>
      <w:r>
        <w:rPr>
          <w:rFonts w:ascii="Arial" w:hAnsi="Arial"/>
          <w:sz w:val="24"/>
        </w:rPr>
        <w:tab/>
      </w:r>
      <w:r>
        <w:rPr>
          <w:rFonts w:ascii="Arial" w:hAnsi="Arial"/>
          <w:sz w:val="24"/>
        </w:rPr>
        <w:br/>
      </w:r>
    </w:p>
    <w:p w14:paraId="0ABAB400" w14:textId="584A1A05"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cs="Arial"/>
          <w:spacing w:val="-3"/>
          <w:sz w:val="24"/>
          <w:szCs w:val="24"/>
        </w:rPr>
      </w:pPr>
      <w:r>
        <w:rPr>
          <w:rFonts w:ascii="Arial" w:hAnsi="Arial"/>
          <w:sz w:val="24"/>
        </w:rPr>
        <w:t xml:space="preserve">Fournir le système de </w:t>
      </w:r>
      <w:r w:rsidR="007B703C">
        <w:rPr>
          <w:rFonts w:ascii="Arial" w:hAnsi="Arial"/>
          <w:sz w:val="24"/>
        </w:rPr>
        <w:t>plaque de recouvrement en caoutchouc à charnière</w:t>
      </w:r>
      <w:r>
        <w:rPr>
          <w:rFonts w:ascii="Arial" w:hAnsi="Arial"/>
          <w:sz w:val="24"/>
        </w:rPr>
        <w:t xml:space="preserve"> </w:t>
      </w:r>
      <w:proofErr w:type="spellStart"/>
      <w:r>
        <w:rPr>
          <w:rFonts w:ascii="Arial" w:hAnsi="Arial"/>
          <w:sz w:val="24"/>
        </w:rPr>
        <w:t>Wabo</w:t>
      </w:r>
      <w:r>
        <w:rPr>
          <w:rFonts w:ascii="Arial" w:hAnsi="Arial"/>
          <w:sz w:val="24"/>
          <w:vertAlign w:val="superscript"/>
        </w:rPr>
        <w:t>®</w:t>
      </w:r>
      <w:r>
        <w:rPr>
          <w:rFonts w:ascii="Arial" w:hAnsi="Arial"/>
          <w:sz w:val="24"/>
        </w:rPr>
        <w:t>SafetyFlex</w:t>
      </w:r>
      <w:proofErr w:type="spellEnd"/>
      <w:r>
        <w:rPr>
          <w:rFonts w:ascii="Arial" w:hAnsi="Arial"/>
          <w:sz w:val="24"/>
        </w:rPr>
        <w:t xml:space="preserve">, tel qu’il est fabriqué par Watson Bowman Acme et comme indiqué sur les dessins. </w:t>
      </w:r>
    </w:p>
    <w:p w14:paraId="3798147B" w14:textId="77777777" w:rsidR="00AC7718" w:rsidRPr="00770B45" w:rsidRDefault="00AC7718">
      <w:pPr>
        <w:ind w:left="1260" w:firstLine="2340"/>
        <w:jc w:val="both"/>
        <w:rPr>
          <w:rFonts w:ascii="Arial" w:hAnsi="Arial" w:cs="Arial"/>
          <w:spacing w:val="-3"/>
          <w:sz w:val="24"/>
          <w:szCs w:val="24"/>
        </w:rPr>
      </w:pPr>
    </w:p>
    <w:p w14:paraId="60567A2A" w14:textId="31F6F79C" w:rsidR="00AC7718" w:rsidRPr="00770B45" w:rsidRDefault="00EE0ECC">
      <w:pPr>
        <w:jc w:val="both"/>
        <w:rPr>
          <w:rFonts w:ascii="Arial" w:hAnsi="Arial" w:cs="Arial"/>
          <w:sz w:val="24"/>
          <w:szCs w:val="24"/>
        </w:rPr>
      </w:pPr>
      <w:r>
        <w:rPr>
          <w:rFonts w:ascii="Arial" w:hAnsi="Arial"/>
          <w:sz w:val="24"/>
        </w:rPr>
        <w:br w:type="page"/>
      </w:r>
      <w:r w:rsidR="00C71327">
        <w:rPr>
          <w:rFonts w:ascii="Arial" w:hAnsi="Arial"/>
          <w:sz w:val="24"/>
        </w:rPr>
        <w:lastRenderedPageBreak/>
        <w:t xml:space="preserve">2.02 </w:t>
      </w:r>
      <w:r w:rsidR="00A63042">
        <w:rPr>
          <w:rFonts w:ascii="Arial" w:hAnsi="Arial"/>
          <w:sz w:val="24"/>
        </w:rPr>
        <w:tab/>
      </w:r>
      <w:r w:rsidR="00C71327">
        <w:rPr>
          <w:rFonts w:ascii="Arial" w:hAnsi="Arial"/>
          <w:sz w:val="24"/>
        </w:rPr>
        <w:t>Composants et matériaux</w:t>
      </w:r>
    </w:p>
    <w:p w14:paraId="70998209"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z w:val="24"/>
          <w:szCs w:val="24"/>
        </w:rPr>
      </w:pPr>
    </w:p>
    <w:p w14:paraId="480FE88A" w14:textId="7595E075" w:rsidR="001B732D" w:rsidRPr="00EE0ECC" w:rsidRDefault="001B2F8C" w:rsidP="00A63042">
      <w:pPr>
        <w:numPr>
          <w:ilvl w:val="0"/>
          <w:numId w:val="10"/>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4"/>
          <w:szCs w:val="24"/>
        </w:rPr>
      </w:pPr>
      <w:r>
        <w:rPr>
          <w:rFonts w:ascii="Arial" w:hAnsi="Arial"/>
          <w:sz w:val="24"/>
        </w:rPr>
        <w:t>Enrobage de</w:t>
      </w:r>
      <w:r w:rsidR="00C71327" w:rsidRPr="00EE0ECC">
        <w:rPr>
          <w:rFonts w:ascii="Arial" w:hAnsi="Arial"/>
          <w:sz w:val="24"/>
        </w:rPr>
        <w:t xml:space="preserve"> caoutchouc EPDM : Après installation, la surface supérieure du profil d</w:t>
      </w:r>
      <w:r w:rsidR="006B40FA">
        <w:rPr>
          <w:rFonts w:ascii="Arial" w:hAnsi="Arial"/>
          <w:sz w:val="24"/>
        </w:rPr>
        <w:t>e la plaque</w:t>
      </w:r>
      <w:r w:rsidR="00C71327" w:rsidRPr="00EE0ECC">
        <w:rPr>
          <w:rFonts w:ascii="Arial" w:hAnsi="Arial"/>
          <w:sz w:val="24"/>
        </w:rPr>
        <w:t xml:space="preserve"> doit être antidérapante et fournir une transition appropriée </w:t>
      </w:r>
      <w:r w:rsidR="001F7D10">
        <w:rPr>
          <w:rFonts w:ascii="Arial" w:hAnsi="Arial"/>
          <w:sz w:val="24"/>
        </w:rPr>
        <w:t>au-dessus de</w:t>
      </w:r>
      <w:r w:rsidR="00C71327" w:rsidRPr="00EE0ECC">
        <w:rPr>
          <w:rFonts w:ascii="Arial" w:hAnsi="Arial"/>
          <w:sz w:val="24"/>
        </w:rPr>
        <w:t xml:space="preserve"> l’ouverture du joint. Le matériau doit être en EPDM ou en matériau de rechange du fabricant présentant une dureté Shore A de 60 +/- 5.</w:t>
      </w:r>
    </w:p>
    <w:p w14:paraId="635AEB05" w14:textId="77777777" w:rsidR="00EE0ECC" w:rsidRPr="00EE0ECC" w:rsidRDefault="00EE0ECC" w:rsidP="00EE0ECC">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cs="Arial"/>
          <w:sz w:val="24"/>
          <w:szCs w:val="24"/>
        </w:rPr>
      </w:pPr>
    </w:p>
    <w:tbl>
      <w:tblPr>
        <w:tblW w:w="0" w:type="auto"/>
        <w:jc w:val="center"/>
        <w:tblLayout w:type="fixed"/>
        <w:tblCellMar>
          <w:left w:w="54" w:type="dxa"/>
          <w:right w:w="54" w:type="dxa"/>
        </w:tblCellMar>
        <w:tblLook w:val="0000" w:firstRow="0" w:lastRow="0" w:firstColumn="0" w:lastColumn="0" w:noHBand="0" w:noVBand="0"/>
      </w:tblPr>
      <w:tblGrid>
        <w:gridCol w:w="5048"/>
        <w:gridCol w:w="2140"/>
        <w:gridCol w:w="2507"/>
      </w:tblGrid>
      <w:tr w:rsidR="00511782" w14:paraId="5966903D" w14:textId="77777777" w:rsidTr="00A63042">
        <w:trPr>
          <w:jc w:val="center"/>
        </w:trPr>
        <w:tc>
          <w:tcPr>
            <w:tcW w:w="5048" w:type="dxa"/>
            <w:tcBorders>
              <w:top w:val="single" w:sz="6" w:space="0" w:color="auto"/>
              <w:left w:val="single" w:sz="6" w:space="0" w:color="auto"/>
              <w:bottom w:val="single" w:sz="6" w:space="0" w:color="auto"/>
              <w:right w:val="single" w:sz="6" w:space="0" w:color="auto"/>
            </w:tcBorders>
            <w:shd w:val="solid" w:color="C0C0C0" w:fill="auto"/>
          </w:tcPr>
          <w:p w14:paraId="2558D4B2" w14:textId="77777777" w:rsidR="00AC7718" w:rsidRPr="00CA70D0" w:rsidRDefault="00C71327">
            <w:pPr>
              <w:widowControl w:val="0"/>
              <w:jc w:val="right"/>
              <w:rPr>
                <w:rFonts w:ascii="Arial" w:hAnsi="Arial" w:cs="Arial"/>
                <w:b/>
                <w:snapToGrid w:val="0"/>
                <w:sz w:val="22"/>
                <w:szCs w:val="22"/>
              </w:rPr>
            </w:pPr>
            <w:r>
              <w:rPr>
                <w:rFonts w:ascii="Arial" w:hAnsi="Arial"/>
                <w:b/>
                <w:snapToGrid w:val="0"/>
                <w:sz w:val="22"/>
              </w:rPr>
              <w:t>PROPRIÉTÉ PHYSIQUE</w:t>
            </w:r>
          </w:p>
        </w:tc>
        <w:tc>
          <w:tcPr>
            <w:tcW w:w="2140" w:type="dxa"/>
            <w:tcBorders>
              <w:top w:val="single" w:sz="6" w:space="0" w:color="auto"/>
              <w:left w:val="single" w:sz="6" w:space="0" w:color="auto"/>
              <w:bottom w:val="single" w:sz="6" w:space="0" w:color="auto"/>
              <w:right w:val="single" w:sz="6" w:space="0" w:color="auto"/>
            </w:tcBorders>
            <w:shd w:val="solid" w:color="C0C0C0" w:fill="auto"/>
          </w:tcPr>
          <w:p w14:paraId="5BE46CFB" w14:textId="77777777" w:rsidR="00AC7718" w:rsidRPr="00CA70D0" w:rsidRDefault="00C71327">
            <w:pPr>
              <w:widowControl w:val="0"/>
              <w:jc w:val="right"/>
              <w:rPr>
                <w:rFonts w:ascii="Arial" w:hAnsi="Arial" w:cs="Arial"/>
                <w:b/>
                <w:snapToGrid w:val="0"/>
                <w:sz w:val="22"/>
                <w:szCs w:val="22"/>
              </w:rPr>
            </w:pPr>
            <w:r>
              <w:rPr>
                <w:rFonts w:ascii="Arial" w:hAnsi="Arial"/>
                <w:b/>
                <w:snapToGrid w:val="0"/>
                <w:sz w:val="22"/>
              </w:rPr>
              <w:t>MÉTHODE D’ESSAI ASTM</w:t>
            </w:r>
          </w:p>
        </w:tc>
        <w:tc>
          <w:tcPr>
            <w:tcW w:w="2507" w:type="dxa"/>
            <w:tcBorders>
              <w:top w:val="single" w:sz="6" w:space="0" w:color="auto"/>
              <w:left w:val="single" w:sz="6" w:space="0" w:color="auto"/>
              <w:bottom w:val="single" w:sz="6" w:space="0" w:color="auto"/>
              <w:right w:val="single" w:sz="6" w:space="0" w:color="auto"/>
            </w:tcBorders>
            <w:shd w:val="solid" w:color="C0C0C0" w:fill="auto"/>
          </w:tcPr>
          <w:p w14:paraId="6535BB7D" w14:textId="77777777" w:rsidR="00AC7718" w:rsidRPr="00CA70D0" w:rsidRDefault="00C71327">
            <w:pPr>
              <w:widowControl w:val="0"/>
              <w:jc w:val="right"/>
              <w:rPr>
                <w:rFonts w:ascii="Arial" w:hAnsi="Arial" w:cs="Arial"/>
                <w:b/>
                <w:snapToGrid w:val="0"/>
                <w:sz w:val="22"/>
                <w:szCs w:val="22"/>
              </w:rPr>
            </w:pPr>
            <w:r>
              <w:rPr>
                <w:rFonts w:ascii="Arial" w:hAnsi="Arial"/>
                <w:b/>
                <w:snapToGrid w:val="0"/>
                <w:sz w:val="22"/>
              </w:rPr>
              <w:t>EXIGENCES</w:t>
            </w:r>
          </w:p>
        </w:tc>
      </w:tr>
      <w:tr w:rsidR="00511782" w14:paraId="28C2A1FD" w14:textId="77777777" w:rsidTr="00A63042">
        <w:trPr>
          <w:jc w:val="center"/>
        </w:trPr>
        <w:tc>
          <w:tcPr>
            <w:tcW w:w="5048" w:type="dxa"/>
            <w:tcBorders>
              <w:top w:val="single" w:sz="6" w:space="0" w:color="auto"/>
              <w:left w:val="single" w:sz="6" w:space="0" w:color="auto"/>
              <w:bottom w:val="single" w:sz="6" w:space="0" w:color="auto"/>
              <w:right w:val="single" w:sz="6" w:space="0" w:color="auto"/>
            </w:tcBorders>
          </w:tcPr>
          <w:p w14:paraId="4EB8483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Résistance à la traction</w:t>
            </w:r>
          </w:p>
        </w:tc>
        <w:tc>
          <w:tcPr>
            <w:tcW w:w="2140" w:type="dxa"/>
            <w:tcBorders>
              <w:top w:val="single" w:sz="6" w:space="0" w:color="auto"/>
              <w:left w:val="single" w:sz="6" w:space="0" w:color="auto"/>
              <w:bottom w:val="single" w:sz="6" w:space="0" w:color="auto"/>
              <w:right w:val="single" w:sz="6" w:space="0" w:color="auto"/>
            </w:tcBorders>
          </w:tcPr>
          <w:p w14:paraId="0EB7D1A2"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412</w:t>
            </w:r>
          </w:p>
        </w:tc>
        <w:tc>
          <w:tcPr>
            <w:tcW w:w="2507" w:type="dxa"/>
            <w:tcBorders>
              <w:top w:val="single" w:sz="6" w:space="0" w:color="auto"/>
              <w:left w:val="single" w:sz="6" w:space="0" w:color="auto"/>
              <w:bottom w:val="single" w:sz="6" w:space="0" w:color="auto"/>
              <w:right w:val="single" w:sz="6" w:space="0" w:color="auto"/>
            </w:tcBorders>
          </w:tcPr>
          <w:p w14:paraId="3CF1F14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10,4 MPa (1 500 </w:t>
            </w:r>
            <w:proofErr w:type="gramStart"/>
            <w:r>
              <w:rPr>
                <w:rFonts w:ascii="Arial" w:hAnsi="Arial"/>
                <w:snapToGrid w:val="0"/>
                <w:sz w:val="22"/>
              </w:rPr>
              <w:t>psi</w:t>
            </w:r>
            <w:proofErr w:type="gramEnd"/>
            <w:r>
              <w:rPr>
                <w:rFonts w:ascii="Arial" w:hAnsi="Arial"/>
                <w:snapToGrid w:val="0"/>
                <w:sz w:val="22"/>
              </w:rPr>
              <w:t>) min</w:t>
            </w:r>
          </w:p>
        </w:tc>
      </w:tr>
      <w:tr w:rsidR="00511782" w14:paraId="1B699054" w14:textId="77777777" w:rsidTr="00A63042">
        <w:trPr>
          <w:jc w:val="center"/>
        </w:trPr>
        <w:tc>
          <w:tcPr>
            <w:tcW w:w="5048" w:type="dxa"/>
            <w:tcBorders>
              <w:top w:val="single" w:sz="6" w:space="0" w:color="auto"/>
              <w:left w:val="single" w:sz="6" w:space="0" w:color="auto"/>
              <w:bottom w:val="single" w:sz="6" w:space="0" w:color="auto"/>
              <w:right w:val="single" w:sz="6" w:space="0" w:color="auto"/>
            </w:tcBorders>
          </w:tcPr>
          <w:p w14:paraId="4DCD3549"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Élongation finale</w:t>
            </w:r>
          </w:p>
        </w:tc>
        <w:tc>
          <w:tcPr>
            <w:tcW w:w="2140" w:type="dxa"/>
            <w:tcBorders>
              <w:top w:val="single" w:sz="6" w:space="0" w:color="auto"/>
              <w:left w:val="single" w:sz="6" w:space="0" w:color="auto"/>
              <w:bottom w:val="single" w:sz="6" w:space="0" w:color="auto"/>
              <w:right w:val="single" w:sz="6" w:space="0" w:color="auto"/>
            </w:tcBorders>
          </w:tcPr>
          <w:p w14:paraId="54820B35"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412</w:t>
            </w:r>
          </w:p>
        </w:tc>
        <w:tc>
          <w:tcPr>
            <w:tcW w:w="2507" w:type="dxa"/>
            <w:tcBorders>
              <w:top w:val="single" w:sz="6" w:space="0" w:color="auto"/>
              <w:left w:val="single" w:sz="6" w:space="0" w:color="auto"/>
              <w:bottom w:val="single" w:sz="6" w:space="0" w:color="auto"/>
              <w:right w:val="single" w:sz="6" w:space="0" w:color="auto"/>
            </w:tcBorders>
          </w:tcPr>
          <w:p w14:paraId="1BF4DA5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350 % min</w:t>
            </w:r>
          </w:p>
        </w:tc>
      </w:tr>
      <w:tr w:rsidR="00511782" w14:paraId="566363EC" w14:textId="77777777" w:rsidTr="00A63042">
        <w:trPr>
          <w:jc w:val="center"/>
        </w:trPr>
        <w:tc>
          <w:tcPr>
            <w:tcW w:w="5048" w:type="dxa"/>
            <w:tcBorders>
              <w:top w:val="single" w:sz="6" w:space="0" w:color="auto"/>
              <w:left w:val="single" w:sz="6" w:space="0" w:color="auto"/>
              <w:right w:val="single" w:sz="6" w:space="0" w:color="auto"/>
            </w:tcBorders>
          </w:tcPr>
          <w:p w14:paraId="3BD2B3FE"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Dureté, </w:t>
            </w:r>
          </w:p>
        </w:tc>
        <w:tc>
          <w:tcPr>
            <w:tcW w:w="2140" w:type="dxa"/>
            <w:tcBorders>
              <w:top w:val="single" w:sz="6" w:space="0" w:color="auto"/>
              <w:left w:val="single" w:sz="6" w:space="0" w:color="auto"/>
              <w:right w:val="single" w:sz="6" w:space="0" w:color="auto"/>
            </w:tcBorders>
          </w:tcPr>
          <w:p w14:paraId="1D4FEA12" w14:textId="77777777" w:rsidR="00AC7718" w:rsidRPr="00CA70D0" w:rsidRDefault="00AC7718">
            <w:pPr>
              <w:widowControl w:val="0"/>
              <w:rPr>
                <w:rFonts w:ascii="Arial" w:hAnsi="Arial" w:cs="Arial"/>
                <w:snapToGrid w:val="0"/>
                <w:sz w:val="22"/>
                <w:szCs w:val="22"/>
              </w:rPr>
            </w:pPr>
          </w:p>
        </w:tc>
        <w:tc>
          <w:tcPr>
            <w:tcW w:w="2507" w:type="dxa"/>
            <w:tcBorders>
              <w:top w:val="single" w:sz="6" w:space="0" w:color="auto"/>
              <w:left w:val="single" w:sz="6" w:space="0" w:color="auto"/>
              <w:right w:val="single" w:sz="6" w:space="0" w:color="auto"/>
            </w:tcBorders>
          </w:tcPr>
          <w:p w14:paraId="1DD3835E" w14:textId="77777777" w:rsidR="00AC7718" w:rsidRPr="00CA70D0" w:rsidRDefault="00AC7718">
            <w:pPr>
              <w:widowControl w:val="0"/>
              <w:rPr>
                <w:rFonts w:ascii="Arial" w:hAnsi="Arial" w:cs="Arial"/>
                <w:snapToGrid w:val="0"/>
                <w:sz w:val="22"/>
                <w:szCs w:val="22"/>
              </w:rPr>
            </w:pPr>
          </w:p>
        </w:tc>
      </w:tr>
      <w:tr w:rsidR="00511782" w14:paraId="2AFB958F" w14:textId="77777777" w:rsidTr="00A63042">
        <w:trPr>
          <w:jc w:val="center"/>
        </w:trPr>
        <w:tc>
          <w:tcPr>
            <w:tcW w:w="5048" w:type="dxa"/>
            <w:tcBorders>
              <w:left w:val="single" w:sz="6" w:space="0" w:color="auto"/>
              <w:bottom w:val="single" w:sz="6" w:space="0" w:color="auto"/>
              <w:right w:val="single" w:sz="6" w:space="0" w:color="auto"/>
            </w:tcBorders>
          </w:tcPr>
          <w:p w14:paraId="3DFD261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Shore A 7 jours à -10 °C (14 °F)</w:t>
            </w:r>
          </w:p>
        </w:tc>
        <w:tc>
          <w:tcPr>
            <w:tcW w:w="2140" w:type="dxa"/>
            <w:tcBorders>
              <w:left w:val="single" w:sz="6" w:space="0" w:color="auto"/>
              <w:bottom w:val="single" w:sz="6" w:space="0" w:color="auto"/>
              <w:right w:val="single" w:sz="6" w:space="0" w:color="auto"/>
            </w:tcBorders>
          </w:tcPr>
          <w:p w14:paraId="33ABBDB0"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2240</w:t>
            </w:r>
          </w:p>
        </w:tc>
        <w:tc>
          <w:tcPr>
            <w:tcW w:w="2507" w:type="dxa"/>
            <w:tcBorders>
              <w:left w:val="single" w:sz="6" w:space="0" w:color="auto"/>
              <w:bottom w:val="single" w:sz="6" w:space="0" w:color="auto"/>
              <w:right w:val="single" w:sz="6" w:space="0" w:color="auto"/>
            </w:tcBorders>
          </w:tcPr>
          <w:p w14:paraId="5E98E7A5"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60 +/- 5</w:t>
            </w:r>
          </w:p>
        </w:tc>
      </w:tr>
      <w:tr w:rsidR="00511782" w14:paraId="43A90827" w14:textId="77777777" w:rsidTr="00A63042">
        <w:trPr>
          <w:jc w:val="center"/>
        </w:trPr>
        <w:tc>
          <w:tcPr>
            <w:tcW w:w="5048" w:type="dxa"/>
            <w:tcBorders>
              <w:top w:val="single" w:sz="6" w:space="0" w:color="auto"/>
              <w:left w:val="single" w:sz="6" w:space="0" w:color="auto"/>
              <w:right w:val="single" w:sz="6" w:space="0" w:color="auto"/>
            </w:tcBorders>
          </w:tcPr>
          <w:p w14:paraId="10A56904"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Résistance à la chaleur, </w:t>
            </w:r>
          </w:p>
        </w:tc>
        <w:tc>
          <w:tcPr>
            <w:tcW w:w="2140" w:type="dxa"/>
            <w:tcBorders>
              <w:top w:val="single" w:sz="6" w:space="0" w:color="auto"/>
              <w:left w:val="single" w:sz="6" w:space="0" w:color="auto"/>
              <w:right w:val="single" w:sz="6" w:space="0" w:color="auto"/>
            </w:tcBorders>
          </w:tcPr>
          <w:p w14:paraId="34BA7EAB" w14:textId="77777777" w:rsidR="00AC7718" w:rsidRPr="00CA70D0" w:rsidRDefault="00AC7718">
            <w:pPr>
              <w:widowControl w:val="0"/>
              <w:rPr>
                <w:rFonts w:ascii="Arial" w:hAnsi="Arial" w:cs="Arial"/>
                <w:snapToGrid w:val="0"/>
                <w:sz w:val="22"/>
                <w:szCs w:val="22"/>
              </w:rPr>
            </w:pPr>
          </w:p>
        </w:tc>
        <w:tc>
          <w:tcPr>
            <w:tcW w:w="2507" w:type="dxa"/>
            <w:tcBorders>
              <w:top w:val="single" w:sz="6" w:space="0" w:color="auto"/>
              <w:right w:val="single" w:sz="6" w:space="0" w:color="auto"/>
            </w:tcBorders>
          </w:tcPr>
          <w:p w14:paraId="719A3325" w14:textId="77777777" w:rsidR="00AC7718" w:rsidRPr="00CA70D0" w:rsidRDefault="00AC7718">
            <w:pPr>
              <w:widowControl w:val="0"/>
              <w:rPr>
                <w:rFonts w:ascii="Arial" w:hAnsi="Arial" w:cs="Arial"/>
                <w:snapToGrid w:val="0"/>
                <w:sz w:val="22"/>
                <w:szCs w:val="22"/>
              </w:rPr>
            </w:pPr>
          </w:p>
        </w:tc>
      </w:tr>
      <w:tr w:rsidR="00511782" w14:paraId="665372F2" w14:textId="77777777" w:rsidTr="00A63042">
        <w:trPr>
          <w:jc w:val="center"/>
        </w:trPr>
        <w:tc>
          <w:tcPr>
            <w:tcW w:w="5048" w:type="dxa"/>
            <w:tcBorders>
              <w:left w:val="single" w:sz="6" w:space="0" w:color="auto"/>
              <w:right w:val="single" w:sz="6" w:space="0" w:color="auto"/>
            </w:tcBorders>
          </w:tcPr>
          <w:p w14:paraId="46AAA7C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70 heures à 100 °F (212 °C)</w:t>
            </w:r>
          </w:p>
        </w:tc>
        <w:tc>
          <w:tcPr>
            <w:tcW w:w="2140" w:type="dxa"/>
            <w:tcBorders>
              <w:left w:val="single" w:sz="6" w:space="0" w:color="auto"/>
              <w:right w:val="single" w:sz="6" w:space="0" w:color="auto"/>
            </w:tcBorders>
          </w:tcPr>
          <w:p w14:paraId="1BF3F89B" w14:textId="77777777" w:rsidR="00AC7718" w:rsidRPr="00CA70D0" w:rsidRDefault="00AC7718">
            <w:pPr>
              <w:widowControl w:val="0"/>
              <w:rPr>
                <w:rFonts w:ascii="Arial" w:hAnsi="Arial" w:cs="Arial"/>
                <w:snapToGrid w:val="0"/>
                <w:sz w:val="22"/>
                <w:szCs w:val="22"/>
              </w:rPr>
            </w:pPr>
          </w:p>
        </w:tc>
        <w:tc>
          <w:tcPr>
            <w:tcW w:w="2507" w:type="dxa"/>
            <w:tcBorders>
              <w:right w:val="single" w:sz="6" w:space="0" w:color="auto"/>
            </w:tcBorders>
          </w:tcPr>
          <w:p w14:paraId="79950E53" w14:textId="77777777" w:rsidR="00AC7718" w:rsidRPr="00CA70D0" w:rsidRDefault="00AC7718">
            <w:pPr>
              <w:widowControl w:val="0"/>
              <w:rPr>
                <w:rFonts w:ascii="Arial" w:hAnsi="Arial" w:cs="Arial"/>
                <w:snapToGrid w:val="0"/>
                <w:sz w:val="22"/>
                <w:szCs w:val="22"/>
              </w:rPr>
            </w:pPr>
          </w:p>
        </w:tc>
      </w:tr>
      <w:tr w:rsidR="00511782" w14:paraId="11B9B76D" w14:textId="77777777" w:rsidTr="00A63042">
        <w:trPr>
          <w:jc w:val="center"/>
        </w:trPr>
        <w:tc>
          <w:tcPr>
            <w:tcW w:w="5048" w:type="dxa"/>
            <w:tcBorders>
              <w:left w:val="single" w:sz="6" w:space="0" w:color="auto"/>
              <w:right w:val="single" w:sz="6" w:space="0" w:color="auto"/>
            </w:tcBorders>
          </w:tcPr>
          <w:p w14:paraId="2A6DA43A"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     Changement de résistance à la traction</w:t>
            </w:r>
          </w:p>
        </w:tc>
        <w:tc>
          <w:tcPr>
            <w:tcW w:w="2140" w:type="dxa"/>
            <w:tcBorders>
              <w:left w:val="single" w:sz="6" w:space="0" w:color="auto"/>
              <w:right w:val="single" w:sz="6" w:space="0" w:color="auto"/>
            </w:tcBorders>
          </w:tcPr>
          <w:p w14:paraId="4B4217A4" w14:textId="77777777" w:rsidR="00AC7718" w:rsidRPr="00CA70D0" w:rsidRDefault="00AC7718">
            <w:pPr>
              <w:widowControl w:val="0"/>
              <w:rPr>
                <w:rFonts w:ascii="Arial" w:hAnsi="Arial" w:cs="Arial"/>
                <w:snapToGrid w:val="0"/>
                <w:sz w:val="22"/>
                <w:szCs w:val="22"/>
              </w:rPr>
            </w:pPr>
          </w:p>
        </w:tc>
        <w:tc>
          <w:tcPr>
            <w:tcW w:w="2507" w:type="dxa"/>
            <w:tcBorders>
              <w:right w:val="single" w:sz="6" w:space="0" w:color="auto"/>
            </w:tcBorders>
          </w:tcPr>
          <w:p w14:paraId="4191CEDC"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- 25 % max</w:t>
            </w:r>
          </w:p>
        </w:tc>
      </w:tr>
      <w:tr w:rsidR="00511782" w14:paraId="56958E04" w14:textId="77777777" w:rsidTr="00A63042">
        <w:trPr>
          <w:jc w:val="center"/>
        </w:trPr>
        <w:tc>
          <w:tcPr>
            <w:tcW w:w="5048" w:type="dxa"/>
            <w:tcBorders>
              <w:left w:val="single" w:sz="6" w:space="0" w:color="auto"/>
              <w:right w:val="single" w:sz="6" w:space="0" w:color="auto"/>
            </w:tcBorders>
          </w:tcPr>
          <w:p w14:paraId="1CBE7A7C"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     Changement de l’élongation finale</w:t>
            </w:r>
          </w:p>
        </w:tc>
        <w:tc>
          <w:tcPr>
            <w:tcW w:w="2140" w:type="dxa"/>
            <w:tcBorders>
              <w:left w:val="single" w:sz="6" w:space="0" w:color="auto"/>
              <w:right w:val="single" w:sz="6" w:space="0" w:color="auto"/>
            </w:tcBorders>
          </w:tcPr>
          <w:p w14:paraId="526DAF21" w14:textId="77777777" w:rsidR="00AC7718" w:rsidRPr="00CA70D0" w:rsidRDefault="00AC7718">
            <w:pPr>
              <w:widowControl w:val="0"/>
              <w:rPr>
                <w:rFonts w:ascii="Arial" w:hAnsi="Arial" w:cs="Arial"/>
                <w:snapToGrid w:val="0"/>
                <w:sz w:val="22"/>
                <w:szCs w:val="22"/>
              </w:rPr>
            </w:pPr>
          </w:p>
        </w:tc>
        <w:tc>
          <w:tcPr>
            <w:tcW w:w="2507" w:type="dxa"/>
            <w:tcBorders>
              <w:right w:val="single" w:sz="6" w:space="0" w:color="auto"/>
            </w:tcBorders>
          </w:tcPr>
          <w:p w14:paraId="54E454C9"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- 25 % max</w:t>
            </w:r>
          </w:p>
        </w:tc>
      </w:tr>
      <w:tr w:rsidR="00511782" w14:paraId="0CFC69D0" w14:textId="77777777" w:rsidTr="00A63042">
        <w:trPr>
          <w:jc w:val="center"/>
        </w:trPr>
        <w:tc>
          <w:tcPr>
            <w:tcW w:w="5048" w:type="dxa"/>
            <w:tcBorders>
              <w:left w:val="single" w:sz="6" w:space="0" w:color="auto"/>
              <w:bottom w:val="single" w:sz="6" w:space="0" w:color="auto"/>
              <w:right w:val="single" w:sz="6" w:space="0" w:color="auto"/>
            </w:tcBorders>
          </w:tcPr>
          <w:p w14:paraId="427617FA"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     Changement de dureté</w:t>
            </w:r>
          </w:p>
        </w:tc>
        <w:tc>
          <w:tcPr>
            <w:tcW w:w="2140" w:type="dxa"/>
            <w:tcBorders>
              <w:left w:val="single" w:sz="6" w:space="0" w:color="auto"/>
              <w:bottom w:val="single" w:sz="6" w:space="0" w:color="auto"/>
              <w:right w:val="single" w:sz="6" w:space="0" w:color="auto"/>
            </w:tcBorders>
          </w:tcPr>
          <w:p w14:paraId="4782BA92"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573</w:t>
            </w:r>
          </w:p>
        </w:tc>
        <w:tc>
          <w:tcPr>
            <w:tcW w:w="2507" w:type="dxa"/>
            <w:tcBorders>
              <w:bottom w:val="single" w:sz="6" w:space="0" w:color="auto"/>
              <w:right w:val="single" w:sz="6" w:space="0" w:color="auto"/>
            </w:tcBorders>
          </w:tcPr>
          <w:p w14:paraId="7D3C4A54"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+ 10 points max</w:t>
            </w:r>
          </w:p>
        </w:tc>
      </w:tr>
      <w:tr w:rsidR="00511782" w14:paraId="5AFD7A7C" w14:textId="77777777" w:rsidTr="00A63042">
        <w:trPr>
          <w:jc w:val="center"/>
        </w:trPr>
        <w:tc>
          <w:tcPr>
            <w:tcW w:w="5048" w:type="dxa"/>
            <w:tcBorders>
              <w:top w:val="single" w:sz="6" w:space="0" w:color="auto"/>
              <w:left w:val="single" w:sz="6" w:space="0" w:color="auto"/>
              <w:right w:val="single" w:sz="6" w:space="0" w:color="auto"/>
            </w:tcBorders>
          </w:tcPr>
          <w:p w14:paraId="4A73F640"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Résistance à l’huile, 70 heures à 100 °F (212 °C)</w:t>
            </w:r>
          </w:p>
        </w:tc>
        <w:tc>
          <w:tcPr>
            <w:tcW w:w="2140" w:type="dxa"/>
            <w:tcBorders>
              <w:top w:val="single" w:sz="6" w:space="0" w:color="auto"/>
              <w:left w:val="single" w:sz="6" w:space="0" w:color="auto"/>
              <w:right w:val="single" w:sz="6" w:space="0" w:color="auto"/>
            </w:tcBorders>
          </w:tcPr>
          <w:p w14:paraId="5DBADD19" w14:textId="77777777" w:rsidR="00AC7718" w:rsidRPr="00CA70D0" w:rsidRDefault="00AC7718">
            <w:pPr>
              <w:widowControl w:val="0"/>
              <w:rPr>
                <w:rFonts w:ascii="Arial" w:hAnsi="Arial" w:cs="Arial"/>
                <w:snapToGrid w:val="0"/>
                <w:sz w:val="22"/>
                <w:szCs w:val="22"/>
              </w:rPr>
            </w:pPr>
          </w:p>
        </w:tc>
        <w:tc>
          <w:tcPr>
            <w:tcW w:w="2507" w:type="dxa"/>
            <w:tcBorders>
              <w:top w:val="single" w:sz="6" w:space="0" w:color="auto"/>
              <w:left w:val="single" w:sz="6" w:space="0" w:color="auto"/>
              <w:right w:val="single" w:sz="6" w:space="0" w:color="auto"/>
            </w:tcBorders>
          </w:tcPr>
          <w:p w14:paraId="64C0FED7" w14:textId="77777777" w:rsidR="00AC7718" w:rsidRPr="00CA70D0" w:rsidRDefault="00AC7718">
            <w:pPr>
              <w:widowControl w:val="0"/>
              <w:rPr>
                <w:rFonts w:ascii="Arial" w:hAnsi="Arial" w:cs="Arial"/>
                <w:snapToGrid w:val="0"/>
                <w:sz w:val="22"/>
                <w:szCs w:val="22"/>
              </w:rPr>
            </w:pPr>
          </w:p>
        </w:tc>
      </w:tr>
      <w:tr w:rsidR="00511782" w14:paraId="6E6F4E5F" w14:textId="77777777" w:rsidTr="00A63042">
        <w:trPr>
          <w:jc w:val="center"/>
        </w:trPr>
        <w:tc>
          <w:tcPr>
            <w:tcW w:w="5048" w:type="dxa"/>
            <w:tcBorders>
              <w:left w:val="single" w:sz="6" w:space="0" w:color="auto"/>
              <w:bottom w:val="single" w:sz="6" w:space="0" w:color="auto"/>
              <w:right w:val="single" w:sz="6" w:space="0" w:color="auto"/>
            </w:tcBorders>
          </w:tcPr>
          <w:p w14:paraId="4950D4F7"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     Changement de volume</w:t>
            </w:r>
          </w:p>
        </w:tc>
        <w:tc>
          <w:tcPr>
            <w:tcW w:w="2140" w:type="dxa"/>
            <w:tcBorders>
              <w:left w:val="single" w:sz="6" w:space="0" w:color="auto"/>
              <w:bottom w:val="single" w:sz="6" w:space="0" w:color="auto"/>
              <w:right w:val="single" w:sz="6" w:space="0" w:color="auto"/>
            </w:tcBorders>
          </w:tcPr>
          <w:p w14:paraId="3D06F37A"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471</w:t>
            </w:r>
          </w:p>
        </w:tc>
        <w:tc>
          <w:tcPr>
            <w:tcW w:w="2507" w:type="dxa"/>
            <w:tcBorders>
              <w:left w:val="single" w:sz="6" w:space="0" w:color="auto"/>
              <w:bottom w:val="single" w:sz="6" w:space="0" w:color="auto"/>
              <w:right w:val="single" w:sz="6" w:space="0" w:color="auto"/>
            </w:tcBorders>
          </w:tcPr>
          <w:p w14:paraId="4EB770CD"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+ 120 % max</w:t>
            </w:r>
          </w:p>
        </w:tc>
      </w:tr>
      <w:tr w:rsidR="00511782" w14:paraId="18457E50" w14:textId="77777777" w:rsidTr="00A63042">
        <w:trPr>
          <w:jc w:val="center"/>
        </w:trPr>
        <w:tc>
          <w:tcPr>
            <w:tcW w:w="5048" w:type="dxa"/>
            <w:tcBorders>
              <w:top w:val="single" w:sz="6" w:space="0" w:color="auto"/>
              <w:left w:val="single" w:sz="6" w:space="0" w:color="auto"/>
              <w:right w:val="single" w:sz="6" w:space="0" w:color="auto"/>
            </w:tcBorders>
          </w:tcPr>
          <w:p w14:paraId="3F1E93EA"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Résistance à l’ozone </w:t>
            </w:r>
          </w:p>
        </w:tc>
        <w:tc>
          <w:tcPr>
            <w:tcW w:w="2140" w:type="dxa"/>
            <w:tcBorders>
              <w:top w:val="single" w:sz="6" w:space="0" w:color="auto"/>
              <w:left w:val="single" w:sz="6" w:space="0" w:color="auto"/>
              <w:right w:val="single" w:sz="6" w:space="0" w:color="auto"/>
            </w:tcBorders>
          </w:tcPr>
          <w:p w14:paraId="131D4629" w14:textId="77777777" w:rsidR="00AC7718" w:rsidRPr="00CA70D0" w:rsidRDefault="00AC7718">
            <w:pPr>
              <w:widowControl w:val="0"/>
              <w:rPr>
                <w:rFonts w:ascii="Arial" w:hAnsi="Arial" w:cs="Arial"/>
                <w:snapToGrid w:val="0"/>
                <w:sz w:val="22"/>
                <w:szCs w:val="22"/>
              </w:rPr>
            </w:pPr>
          </w:p>
        </w:tc>
        <w:tc>
          <w:tcPr>
            <w:tcW w:w="2507" w:type="dxa"/>
            <w:tcBorders>
              <w:top w:val="single" w:sz="6" w:space="0" w:color="auto"/>
              <w:left w:val="single" w:sz="6" w:space="0" w:color="auto"/>
              <w:right w:val="single" w:sz="6" w:space="0" w:color="auto"/>
            </w:tcBorders>
          </w:tcPr>
          <w:p w14:paraId="651957AD" w14:textId="77777777" w:rsidR="00AC7718" w:rsidRPr="00CA70D0" w:rsidRDefault="00AC7718">
            <w:pPr>
              <w:widowControl w:val="0"/>
              <w:rPr>
                <w:rFonts w:ascii="Arial" w:hAnsi="Arial" w:cs="Arial"/>
                <w:snapToGrid w:val="0"/>
                <w:sz w:val="22"/>
                <w:szCs w:val="22"/>
              </w:rPr>
            </w:pPr>
          </w:p>
        </w:tc>
      </w:tr>
      <w:tr w:rsidR="00511782" w14:paraId="4D483E7E" w14:textId="77777777" w:rsidTr="00A63042">
        <w:trPr>
          <w:jc w:val="center"/>
        </w:trPr>
        <w:tc>
          <w:tcPr>
            <w:tcW w:w="5048" w:type="dxa"/>
            <w:tcBorders>
              <w:left w:val="single" w:sz="6" w:space="0" w:color="auto"/>
              <w:bottom w:val="single" w:sz="6" w:space="0" w:color="auto"/>
              <w:right w:val="single" w:sz="6" w:space="0" w:color="auto"/>
            </w:tcBorders>
          </w:tcPr>
          <w:p w14:paraId="3D0B7D35"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xml:space="preserve">50 </w:t>
            </w:r>
            <w:proofErr w:type="spellStart"/>
            <w:r>
              <w:rPr>
                <w:rFonts w:ascii="Arial" w:hAnsi="Arial"/>
                <w:snapToGrid w:val="0"/>
                <w:sz w:val="22"/>
              </w:rPr>
              <w:t>pphm</w:t>
            </w:r>
            <w:proofErr w:type="spellEnd"/>
            <w:r>
              <w:rPr>
                <w:rFonts w:ascii="Arial" w:hAnsi="Arial"/>
                <w:snapToGrid w:val="0"/>
                <w:sz w:val="22"/>
              </w:rPr>
              <w:t xml:space="preserve"> pendant 70 heures à 104 °F</w:t>
            </w:r>
          </w:p>
        </w:tc>
        <w:tc>
          <w:tcPr>
            <w:tcW w:w="2140" w:type="dxa"/>
            <w:tcBorders>
              <w:left w:val="single" w:sz="6" w:space="0" w:color="auto"/>
              <w:bottom w:val="single" w:sz="6" w:space="0" w:color="auto"/>
              <w:right w:val="single" w:sz="6" w:space="0" w:color="auto"/>
            </w:tcBorders>
          </w:tcPr>
          <w:p w14:paraId="7CCF324B"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518</w:t>
            </w:r>
          </w:p>
        </w:tc>
        <w:tc>
          <w:tcPr>
            <w:tcW w:w="2507" w:type="dxa"/>
            <w:tcBorders>
              <w:left w:val="single" w:sz="6" w:space="0" w:color="auto"/>
              <w:bottom w:val="single" w:sz="6" w:space="0" w:color="auto"/>
              <w:right w:val="single" w:sz="6" w:space="0" w:color="auto"/>
            </w:tcBorders>
          </w:tcPr>
          <w:p w14:paraId="33C9517F"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Cote de rétention de la qualité 100</w:t>
            </w:r>
          </w:p>
        </w:tc>
      </w:tr>
      <w:tr w:rsidR="00511782" w14:paraId="6A2A499E" w14:textId="77777777" w:rsidTr="00A63042">
        <w:trPr>
          <w:jc w:val="center"/>
        </w:trPr>
        <w:tc>
          <w:tcPr>
            <w:tcW w:w="5048" w:type="dxa"/>
            <w:tcBorders>
              <w:top w:val="single" w:sz="6" w:space="0" w:color="auto"/>
              <w:left w:val="single" w:sz="6" w:space="0" w:color="auto"/>
              <w:bottom w:val="single" w:sz="6" w:space="0" w:color="auto"/>
              <w:right w:val="single" w:sz="6" w:space="0" w:color="auto"/>
            </w:tcBorders>
          </w:tcPr>
          <w:p w14:paraId="67923AF1"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Compression rémanente, 22 heures à 70 °C</w:t>
            </w:r>
          </w:p>
        </w:tc>
        <w:tc>
          <w:tcPr>
            <w:tcW w:w="2140" w:type="dxa"/>
            <w:tcBorders>
              <w:top w:val="single" w:sz="6" w:space="0" w:color="auto"/>
              <w:left w:val="single" w:sz="6" w:space="0" w:color="auto"/>
              <w:bottom w:val="single" w:sz="6" w:space="0" w:color="auto"/>
              <w:right w:val="single" w:sz="6" w:space="0" w:color="auto"/>
            </w:tcBorders>
          </w:tcPr>
          <w:p w14:paraId="6FEC2137"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D 395</w:t>
            </w:r>
          </w:p>
        </w:tc>
        <w:tc>
          <w:tcPr>
            <w:tcW w:w="2507" w:type="dxa"/>
            <w:tcBorders>
              <w:top w:val="single" w:sz="6" w:space="0" w:color="auto"/>
              <w:left w:val="single" w:sz="6" w:space="0" w:color="auto"/>
              <w:bottom w:val="single" w:sz="6" w:space="0" w:color="auto"/>
              <w:right w:val="single" w:sz="6" w:space="0" w:color="auto"/>
            </w:tcBorders>
          </w:tcPr>
          <w:p w14:paraId="50C329E0" w14:textId="77777777" w:rsidR="00AC7718" w:rsidRPr="00CA70D0" w:rsidRDefault="00C71327">
            <w:pPr>
              <w:widowControl w:val="0"/>
              <w:jc w:val="right"/>
              <w:rPr>
                <w:rFonts w:ascii="Arial" w:hAnsi="Arial" w:cs="Arial"/>
                <w:snapToGrid w:val="0"/>
                <w:sz w:val="22"/>
                <w:szCs w:val="22"/>
              </w:rPr>
            </w:pPr>
            <w:r>
              <w:rPr>
                <w:rFonts w:ascii="Arial" w:hAnsi="Arial"/>
                <w:snapToGrid w:val="0"/>
                <w:sz w:val="22"/>
              </w:rPr>
              <w:t>+ 50 % max</w:t>
            </w:r>
          </w:p>
        </w:tc>
      </w:tr>
    </w:tbl>
    <w:p w14:paraId="73572B08" w14:textId="6D36C793" w:rsidR="001B732D" w:rsidRPr="002E4013" w:rsidRDefault="00C71327" w:rsidP="00A63042">
      <w:pPr>
        <w:jc w:val="both"/>
        <w:rPr>
          <w:sz w:val="20"/>
        </w:rPr>
      </w:pPr>
      <w:r>
        <w:rPr>
          <w:rFonts w:ascii="Arial" w:hAnsi="Arial"/>
          <w:sz w:val="20"/>
        </w:rPr>
        <w:t xml:space="preserve">Les exigences indiquées ci-dessus reflètent les résultats des essais effectués immédiatement après le </w:t>
      </w:r>
      <w:r w:rsidR="00A63042">
        <w:rPr>
          <w:rFonts w:ascii="Arial" w:hAnsi="Arial"/>
          <w:sz w:val="20"/>
        </w:rPr>
        <w:t>m</w:t>
      </w:r>
      <w:r>
        <w:rPr>
          <w:rFonts w:ascii="Arial" w:hAnsi="Arial"/>
          <w:sz w:val="20"/>
        </w:rPr>
        <w:t>élange du composé.  Les résultats peuvent varier et ne sont pas représentatifs du rendement du produit si les échantillons sont tirés de pièces moulées finies.</w:t>
      </w:r>
    </w:p>
    <w:p w14:paraId="721ABCAD" w14:textId="77777777" w:rsidR="00AC7718" w:rsidRPr="00770B45" w:rsidRDefault="00AC7718">
      <w:pPr>
        <w:rPr>
          <w:rFonts w:ascii="Arial" w:hAnsi="Arial" w:cs="Arial"/>
          <w:sz w:val="24"/>
          <w:szCs w:val="24"/>
        </w:rPr>
      </w:pPr>
    </w:p>
    <w:p w14:paraId="06C532E9" w14:textId="77777777" w:rsidR="00AC7718" w:rsidRPr="00770B45" w:rsidRDefault="00C71327">
      <w:pPr>
        <w:numPr>
          <w:ilvl w:val="0"/>
          <w:numId w:val="10"/>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Plaques en métal – fournir des plaques en acier de 3/16 po et des plaques en acier de construction d’une épaisseur de 1/4 po (SFP-600 et SFP-1000) et d’une épaisseur de 1/2 po (SFP-1200 et SFP-1800) pour répondre à diverses tailles de joints structurels et exigences de mouvement.</w:t>
      </w:r>
    </w:p>
    <w:p w14:paraId="563EC413"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3"/>
          <w:sz w:val="24"/>
          <w:szCs w:val="24"/>
        </w:rPr>
      </w:pPr>
    </w:p>
    <w:p w14:paraId="40F4E5EB" w14:textId="44AC9B48" w:rsidR="00095809" w:rsidRDefault="00C71327" w:rsidP="002F2E10">
      <w:pPr>
        <w:numPr>
          <w:ilvl w:val="0"/>
          <w:numId w:val="10"/>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Ancrages – fournir un ancrage en béton robuste recommandé par le fabricant de 10 mm dia. X 70 mm long. à un espacement maximal d’entraxe de 16 po. Installer les ancrages dans du béton s</w:t>
      </w:r>
      <w:r w:rsidR="00FC63A5">
        <w:rPr>
          <w:rFonts w:ascii="Arial" w:hAnsi="Arial"/>
          <w:sz w:val="24"/>
        </w:rPr>
        <w:t>ain</w:t>
      </w:r>
      <w:r>
        <w:rPr>
          <w:rFonts w:ascii="Arial" w:hAnsi="Arial"/>
          <w:sz w:val="24"/>
        </w:rPr>
        <w:t xml:space="preserve"> en respectant strictement les instructions du fabricant.</w:t>
      </w:r>
    </w:p>
    <w:p w14:paraId="0E253A1F" w14:textId="77777777" w:rsidR="00095809" w:rsidRDefault="00095809" w:rsidP="00095809">
      <w:pPr>
        <w:pStyle w:val="ListParagraph"/>
        <w:rPr>
          <w:rFonts w:ascii="Arial" w:hAnsi="Arial" w:cs="Arial"/>
          <w:spacing w:val="-3"/>
          <w:sz w:val="24"/>
          <w:szCs w:val="24"/>
        </w:rPr>
      </w:pPr>
    </w:p>
    <w:p w14:paraId="45337142" w14:textId="77777777" w:rsidR="00AC7718" w:rsidRPr="00770B45" w:rsidRDefault="00C71327">
      <w:pPr>
        <w:numPr>
          <w:ilvl w:val="0"/>
          <w:numId w:val="10"/>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 xml:space="preserve">Système de gouttière flexible (au besoin) – fournir un produit </w:t>
      </w:r>
      <w:proofErr w:type="spellStart"/>
      <w:r>
        <w:rPr>
          <w:rFonts w:ascii="Arial" w:hAnsi="Arial"/>
          <w:sz w:val="24"/>
        </w:rPr>
        <w:t>Wabo</w:t>
      </w:r>
      <w:r>
        <w:rPr>
          <w:rFonts w:ascii="Arial" w:hAnsi="Arial"/>
          <w:sz w:val="24"/>
          <w:vertAlign w:val="superscript"/>
        </w:rPr>
        <w:t>®</w:t>
      </w:r>
      <w:r>
        <w:rPr>
          <w:rFonts w:ascii="Arial" w:hAnsi="Arial"/>
          <w:sz w:val="24"/>
        </w:rPr>
        <w:t>GutterFlex</w:t>
      </w:r>
      <w:proofErr w:type="spellEnd"/>
      <w:r>
        <w:rPr>
          <w:rFonts w:ascii="Arial" w:hAnsi="Arial"/>
          <w:sz w:val="24"/>
        </w:rPr>
        <w:t xml:space="preserve"> pour drainer les quantités excessives d’humidité recueillie. Le système devra se prêter au mouvement de conception requis et se comprimer sans dommage.</w:t>
      </w:r>
    </w:p>
    <w:p w14:paraId="618CBB14" w14:textId="77777777" w:rsidR="00AC7718" w:rsidRPr="00770B45" w:rsidRDefault="00AC77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99" w:hanging="499"/>
        <w:jc w:val="both"/>
        <w:rPr>
          <w:rFonts w:ascii="Arial" w:hAnsi="Arial" w:cs="Arial"/>
          <w:spacing w:val="-3"/>
          <w:sz w:val="24"/>
          <w:szCs w:val="24"/>
        </w:rPr>
      </w:pPr>
    </w:p>
    <w:p w14:paraId="6EF1E0C1" w14:textId="69934125" w:rsidR="00AC7718" w:rsidRPr="00770B45" w:rsidRDefault="00C71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99" w:hanging="499"/>
        <w:jc w:val="both"/>
        <w:rPr>
          <w:rFonts w:ascii="Arial" w:hAnsi="Arial" w:cs="Arial"/>
          <w:spacing w:val="-3"/>
          <w:sz w:val="24"/>
          <w:szCs w:val="24"/>
        </w:rPr>
      </w:pPr>
      <w:r>
        <w:rPr>
          <w:rFonts w:ascii="Arial" w:hAnsi="Arial"/>
          <w:sz w:val="24"/>
        </w:rPr>
        <w:t xml:space="preserve">2.03 </w:t>
      </w:r>
      <w:r w:rsidR="00A63042">
        <w:rPr>
          <w:rFonts w:ascii="Arial" w:hAnsi="Arial"/>
          <w:sz w:val="24"/>
        </w:rPr>
        <w:tab/>
      </w:r>
      <w:r>
        <w:rPr>
          <w:rFonts w:ascii="Arial" w:hAnsi="Arial"/>
          <w:sz w:val="24"/>
        </w:rPr>
        <w:t>Fabrication</w:t>
      </w:r>
    </w:p>
    <w:p w14:paraId="50483AEE" w14:textId="77777777" w:rsidR="00AC7718" w:rsidRPr="00770B45" w:rsidRDefault="00AC7718">
      <w:pPr>
        <w:tabs>
          <w:tab w:val="left" w:pos="-1440"/>
          <w:tab w:val="left" w:pos="-720"/>
          <w:tab w:val="left" w:pos="499"/>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3"/>
          <w:sz w:val="24"/>
          <w:szCs w:val="24"/>
        </w:rPr>
      </w:pPr>
    </w:p>
    <w:p w14:paraId="7E09AF2C" w14:textId="6F75DCEB"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A63042">
        <w:rPr>
          <w:rFonts w:ascii="Arial" w:hAnsi="Arial"/>
          <w:sz w:val="24"/>
        </w:rPr>
        <w:tab/>
      </w:r>
      <w:proofErr w:type="spellStart"/>
      <w:r>
        <w:rPr>
          <w:rFonts w:ascii="Arial" w:hAnsi="Arial"/>
          <w:sz w:val="24"/>
        </w:rPr>
        <w:t>Wabo</w:t>
      </w:r>
      <w:r>
        <w:rPr>
          <w:rFonts w:ascii="Arial" w:hAnsi="Arial"/>
          <w:sz w:val="24"/>
          <w:vertAlign w:val="superscript"/>
        </w:rPr>
        <w:t>®</w:t>
      </w:r>
      <w:r>
        <w:rPr>
          <w:rFonts w:ascii="Arial" w:hAnsi="Arial"/>
          <w:sz w:val="24"/>
        </w:rPr>
        <w:t>SafetyFlex</w:t>
      </w:r>
      <w:proofErr w:type="spellEnd"/>
      <w:r>
        <w:rPr>
          <w:rFonts w:ascii="Arial" w:hAnsi="Arial"/>
          <w:sz w:val="24"/>
        </w:rPr>
        <w:t xml:space="preserve"> doit être expédié en longueurs de 6 pieds (SFP-600 et SFP-</w:t>
      </w:r>
      <w:r w:rsidR="002865F7">
        <w:rPr>
          <w:rFonts w:ascii="Arial" w:hAnsi="Arial"/>
          <w:sz w:val="24"/>
        </w:rPr>
        <w:t>1</w:t>
      </w:r>
      <w:r>
        <w:rPr>
          <w:rFonts w:ascii="Arial" w:hAnsi="Arial"/>
          <w:sz w:val="24"/>
        </w:rPr>
        <w:t>000), 5 pieds (SFP-1200, SFP-1800 et SFP-2400) et 4 pieds (SFP-3100) sur la palette d’expédition standard du fabricant.</w:t>
      </w:r>
    </w:p>
    <w:p w14:paraId="54922EB5"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p>
    <w:p w14:paraId="0716BC2F" w14:textId="346FC52A"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B. </w:t>
      </w:r>
      <w:r w:rsidR="00A63042">
        <w:rPr>
          <w:rFonts w:ascii="Arial" w:hAnsi="Arial"/>
          <w:sz w:val="24"/>
        </w:rPr>
        <w:tab/>
      </w:r>
      <w:r>
        <w:rPr>
          <w:rFonts w:ascii="Arial" w:hAnsi="Arial"/>
          <w:sz w:val="24"/>
        </w:rPr>
        <w:t>Les ancrages doivent être expédiés dans la boîte standard du fabricant.</w:t>
      </w:r>
    </w:p>
    <w:p w14:paraId="0E3E162B"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EE520D8" w14:textId="77777777" w:rsidR="00AC7718" w:rsidRDefault="00C71327">
      <w:pPr>
        <w:numPr>
          <w:ilvl w:val="1"/>
          <w:numId w:val="13"/>
        </w:numPr>
        <w:tabs>
          <w:tab w:val="left" w:pos="-1440"/>
          <w:tab w:val="left" w:pos="-720"/>
          <w:tab w:val="left" w:pos="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 xml:space="preserve">Finis </w:t>
      </w:r>
    </w:p>
    <w:p w14:paraId="372A0BA2" w14:textId="77777777" w:rsidR="00627D04" w:rsidRDefault="00627D04" w:rsidP="00627D04">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364A3B41" w14:textId="375B10E1" w:rsidR="00A63042" w:rsidRDefault="00C71327" w:rsidP="00A63042">
      <w:pPr>
        <w:numPr>
          <w:ilvl w:val="0"/>
          <w:numId w:val="14"/>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w:t>
      </w:r>
      <w:r w:rsidR="00A63042">
        <w:rPr>
          <w:rFonts w:ascii="Arial" w:hAnsi="Arial"/>
          <w:sz w:val="24"/>
        </w:rPr>
        <w:t>S</w:t>
      </w:r>
      <w:r>
        <w:rPr>
          <w:rFonts w:ascii="Arial" w:hAnsi="Arial"/>
          <w:sz w:val="24"/>
        </w:rPr>
        <w:t>tandard)</w:t>
      </w:r>
      <w:r w:rsidR="002865F7">
        <w:rPr>
          <w:rFonts w:ascii="Arial" w:hAnsi="Arial"/>
          <w:sz w:val="24"/>
        </w:rPr>
        <w:t xml:space="preserve"> </w:t>
      </w:r>
      <w:r>
        <w:rPr>
          <w:rFonts w:ascii="Arial" w:hAnsi="Arial"/>
          <w:sz w:val="24"/>
        </w:rPr>
        <w:t>Les surfaces en élastomère exposées doivent être fournies de couleur standard « Noir pav</w:t>
      </w:r>
      <w:r w:rsidR="00A63042">
        <w:rPr>
          <w:rFonts w:ascii="Arial" w:hAnsi="Arial"/>
          <w:sz w:val="24"/>
        </w:rPr>
        <w:t>age</w:t>
      </w:r>
      <w:r>
        <w:rPr>
          <w:rFonts w:ascii="Arial" w:hAnsi="Arial"/>
          <w:sz w:val="24"/>
        </w:rPr>
        <w:t> » sauf indication contraire.</w:t>
      </w:r>
    </w:p>
    <w:p w14:paraId="3D443C74" w14:textId="77777777" w:rsidR="00A63042" w:rsidRDefault="00A63042" w:rsidP="00A63042">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rPr>
          <w:rFonts w:ascii="Arial" w:hAnsi="Arial" w:cs="Arial"/>
          <w:spacing w:val="-3"/>
          <w:sz w:val="24"/>
          <w:szCs w:val="24"/>
        </w:rPr>
      </w:pPr>
    </w:p>
    <w:p w14:paraId="6B4BC809" w14:textId="18D7F6A1" w:rsidR="00AC7718" w:rsidRPr="00A63042" w:rsidRDefault="00C71327" w:rsidP="00A63042">
      <w:pPr>
        <w:numPr>
          <w:ilvl w:val="0"/>
          <w:numId w:val="14"/>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sidRPr="00A63042">
        <w:rPr>
          <w:rFonts w:ascii="Arial" w:hAnsi="Arial"/>
          <w:sz w:val="24"/>
        </w:rPr>
        <w:t>(</w:t>
      </w:r>
      <w:r w:rsidR="00A63042">
        <w:rPr>
          <w:rFonts w:ascii="Arial" w:hAnsi="Arial"/>
          <w:sz w:val="24"/>
        </w:rPr>
        <w:t>E</w:t>
      </w:r>
      <w:r w:rsidRPr="00A63042">
        <w:rPr>
          <w:rFonts w:ascii="Arial" w:hAnsi="Arial"/>
          <w:sz w:val="24"/>
        </w:rPr>
        <w:t>n option) Surfaces en élastomère exposées – couleurs offertes : gris béton</w:t>
      </w:r>
      <w:r w:rsidR="00A63042">
        <w:rPr>
          <w:rFonts w:ascii="Arial" w:hAnsi="Arial"/>
          <w:sz w:val="24"/>
        </w:rPr>
        <w:t xml:space="preserve"> ou jaune sécurité</w:t>
      </w:r>
      <w:r w:rsidR="002865F7">
        <w:rPr>
          <w:rFonts w:ascii="Arial" w:hAnsi="Arial"/>
          <w:sz w:val="24"/>
        </w:rPr>
        <w:t xml:space="preserve"> (quantité minimale pourrait être requise pour jaune sécurité).</w:t>
      </w:r>
    </w:p>
    <w:p w14:paraId="5545F7F4"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p>
    <w:p w14:paraId="7846410D" w14:textId="7777777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Pr>
          <w:rFonts w:ascii="Arial" w:hAnsi="Arial"/>
          <w:b/>
          <w:sz w:val="24"/>
        </w:rPr>
        <w:t>PARTIE 3 – EXÉCUTION</w:t>
      </w:r>
    </w:p>
    <w:p w14:paraId="3A3A81C4"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191015C" w14:textId="2D40A64B"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3.01 </w:t>
      </w:r>
      <w:r w:rsidR="002865F7">
        <w:rPr>
          <w:rFonts w:ascii="Arial" w:hAnsi="Arial"/>
          <w:sz w:val="24"/>
        </w:rPr>
        <w:tab/>
        <w:t>I</w:t>
      </w:r>
      <w:r>
        <w:rPr>
          <w:rFonts w:ascii="Arial" w:hAnsi="Arial"/>
          <w:sz w:val="24"/>
        </w:rPr>
        <w:t>nstallation</w:t>
      </w:r>
    </w:p>
    <w:p w14:paraId="62EE195C"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p>
    <w:p w14:paraId="634FD0D6" w14:textId="651550B2" w:rsidR="00AC7718" w:rsidRPr="00770B45" w:rsidRDefault="00C71327">
      <w:pPr>
        <w:numPr>
          <w:ilvl w:val="0"/>
          <w:numId w:val="8"/>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 xml:space="preserve">Protéger le système de </w:t>
      </w:r>
      <w:r w:rsidR="007B703C">
        <w:rPr>
          <w:rFonts w:ascii="Arial" w:hAnsi="Arial"/>
          <w:sz w:val="24"/>
        </w:rPr>
        <w:t>plaque de recouvrement en caoutchouc à charnière</w:t>
      </w:r>
      <w:r>
        <w:rPr>
          <w:rFonts w:ascii="Arial" w:hAnsi="Arial"/>
          <w:sz w:val="24"/>
        </w:rPr>
        <w:t xml:space="preserve"> contre les dommages pendant l’installation des matériaux adjacents et par la suite jusqu’à l’achèvement de la structure.</w:t>
      </w:r>
    </w:p>
    <w:p w14:paraId="080B8999"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Arial" w:hAnsi="Arial" w:cs="Arial"/>
          <w:spacing w:val="-3"/>
          <w:sz w:val="24"/>
          <w:szCs w:val="24"/>
        </w:rPr>
      </w:pPr>
    </w:p>
    <w:p w14:paraId="3DAA5C9E" w14:textId="4712998D" w:rsidR="00AC7718" w:rsidRPr="00770B45" w:rsidRDefault="00C71327">
      <w:pPr>
        <w:numPr>
          <w:ilvl w:val="0"/>
          <w:numId w:val="8"/>
        </w:num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r>
        <w:rPr>
          <w:rFonts w:ascii="Arial" w:hAnsi="Arial"/>
          <w:sz w:val="24"/>
        </w:rPr>
        <w:t xml:space="preserve">Les systèmes de </w:t>
      </w:r>
      <w:r w:rsidR="007E47DE">
        <w:rPr>
          <w:rFonts w:ascii="Arial" w:hAnsi="Arial"/>
          <w:sz w:val="24"/>
        </w:rPr>
        <w:t xml:space="preserve">plaque de recouvrement en caoutchouc à charnière </w:t>
      </w:r>
      <w:r>
        <w:rPr>
          <w:rFonts w:ascii="Arial" w:hAnsi="Arial"/>
          <w:sz w:val="24"/>
        </w:rPr>
        <w:t xml:space="preserve">doivent être installés en stricte conformité avec les détails et instructions typiques du fabricant, ainsi qu’avec les conseils de leur représentant qualifié. </w:t>
      </w:r>
    </w:p>
    <w:p w14:paraId="4BAFEF6A" w14:textId="77777777" w:rsidR="00AC7718" w:rsidRPr="00770B45" w:rsidRDefault="00AC7718">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p>
    <w:p w14:paraId="3780A36E" w14:textId="24386217" w:rsidR="00AC7718" w:rsidRPr="00770B45"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3"/>
          <w:sz w:val="24"/>
          <w:szCs w:val="24"/>
        </w:rPr>
      </w:pPr>
      <w:r>
        <w:rPr>
          <w:rFonts w:ascii="Arial" w:hAnsi="Arial"/>
          <w:sz w:val="24"/>
        </w:rPr>
        <w:t xml:space="preserve">3.02 </w:t>
      </w:r>
      <w:r w:rsidR="002865F7">
        <w:rPr>
          <w:rFonts w:ascii="Arial" w:hAnsi="Arial"/>
          <w:sz w:val="24"/>
        </w:rPr>
        <w:tab/>
      </w:r>
      <w:r>
        <w:rPr>
          <w:rFonts w:ascii="Arial" w:hAnsi="Arial"/>
          <w:sz w:val="24"/>
        </w:rPr>
        <w:t>Nettoyage et protection</w:t>
      </w:r>
    </w:p>
    <w:p w14:paraId="5D0A7858" w14:textId="77777777" w:rsidR="00AC7718" w:rsidRPr="00770B45" w:rsidRDefault="00AC7718">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5B7A973" w14:textId="2217D3D7" w:rsidR="00AC7718" w:rsidRPr="00770B45" w:rsidRDefault="00C71327">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4"/>
          <w:szCs w:val="24"/>
        </w:rPr>
      </w:pPr>
      <w:r>
        <w:rPr>
          <w:rFonts w:ascii="Arial" w:hAnsi="Arial"/>
          <w:sz w:val="24"/>
        </w:rPr>
        <w:t xml:space="preserve">A. </w:t>
      </w:r>
      <w:r w:rsidR="002865F7">
        <w:rPr>
          <w:rFonts w:ascii="Arial" w:hAnsi="Arial"/>
          <w:sz w:val="24"/>
        </w:rPr>
        <w:tab/>
      </w:r>
      <w:r>
        <w:rPr>
          <w:rFonts w:ascii="Arial" w:hAnsi="Arial"/>
          <w:sz w:val="24"/>
        </w:rPr>
        <w:t>Protéger le système et ses composants pendant la construction. Une fois le travail terminé dans les zones adjacentes, nettoyer les surfaces exposées avec un nettoyant approprié qui n’endommagera pas ou n’attaquera pas le matériau élastomère.</w:t>
      </w:r>
    </w:p>
    <w:sectPr w:rsidR="00AC7718" w:rsidRPr="00770B45">
      <w:footerReference w:type="default" r:id="rId7"/>
      <w:pgSz w:w="12240" w:h="15840" w:code="1"/>
      <w:pgMar w:top="1152" w:right="1008" w:bottom="432" w:left="1440" w:header="720" w:footer="31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3428" w14:textId="77777777" w:rsidR="00E82B6C" w:rsidRDefault="00E82B6C">
      <w:r>
        <w:separator/>
      </w:r>
    </w:p>
  </w:endnote>
  <w:endnote w:type="continuationSeparator" w:id="0">
    <w:p w14:paraId="4308618A" w14:textId="77777777" w:rsidR="00E82B6C" w:rsidRDefault="00E8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6E7B" w14:textId="669CFF47" w:rsidR="00AC7718" w:rsidRDefault="00C71327">
    <w:pPr>
      <w:tabs>
        <w:tab w:val="right" w:pos="9360"/>
      </w:tabs>
      <w:suppressAutoHyphens/>
      <w:jc w:val="right"/>
      <w:rPr>
        <w:spacing w:val="-3"/>
        <w:sz w:val="16"/>
      </w:rPr>
    </w:pPr>
    <w:r>
      <w:rPr>
        <w:sz w:val="16"/>
      </w:rPr>
      <w:t>0</w:t>
    </w:r>
    <w:r w:rsidR="004B17A7">
      <w:rPr>
        <w:sz w:val="16"/>
      </w:rPr>
      <w:t xml:space="preserve">7 95 00 </w:t>
    </w:r>
    <w:r>
      <w:rPr>
        <w:sz w:val="16"/>
      </w:rPr>
      <w:t>-</w:t>
    </w:r>
    <w:r w:rsidR="007E299B">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095809">
      <w:rPr>
        <w:rStyle w:val="PageNumber"/>
        <w:sz w:val="16"/>
      </w:rPr>
      <w:t>4</w:t>
    </w:r>
    <w:r>
      <w:rPr>
        <w:rStyle w:val="PageNumber"/>
        <w:sz w:val="16"/>
      </w:rPr>
      <w:fldChar w:fldCharType="end"/>
    </w:r>
    <w:r>
      <w:t xml:space="preserve">                                                                          </w:t>
    </w:r>
  </w:p>
  <w:p w14:paraId="54964950" w14:textId="7FB547FD" w:rsidR="00AC7718" w:rsidRDefault="00C7132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right"/>
      <w:rPr>
        <w:spacing w:val="-3"/>
        <w:sz w:val="16"/>
      </w:rPr>
    </w:pPr>
    <w:r>
      <w:rPr>
        <w:sz w:val="16"/>
      </w:rPr>
      <w:tab/>
    </w:r>
    <w:proofErr w:type="spellStart"/>
    <w:r w:rsidR="006A4CC7">
      <w:rPr>
        <w:sz w:val="16"/>
      </w:rPr>
      <w:t>Wabo</w:t>
    </w:r>
    <w:r w:rsidR="006A4CC7">
      <w:rPr>
        <w:rFonts w:ascii="Arial" w:hAnsi="Arial"/>
        <w:b/>
        <w:sz w:val="24"/>
        <w:vertAlign w:val="superscript"/>
      </w:rPr>
      <w:t>®</w:t>
    </w:r>
    <w:r>
      <w:rPr>
        <w:sz w:val="16"/>
      </w:rPr>
      <w:t>SafetyFlex</w:t>
    </w:r>
    <w:proofErr w:type="spellEnd"/>
  </w:p>
  <w:p w14:paraId="248759BB" w14:textId="77777777" w:rsidR="00AC7718" w:rsidRDefault="00AC77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0A5B" w14:textId="77777777" w:rsidR="00E82B6C" w:rsidRDefault="00E82B6C">
      <w:r>
        <w:separator/>
      </w:r>
    </w:p>
  </w:footnote>
  <w:footnote w:type="continuationSeparator" w:id="0">
    <w:p w14:paraId="06C01FEB" w14:textId="77777777" w:rsidR="00E82B6C" w:rsidRDefault="00E8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74C"/>
    <w:multiLevelType w:val="multilevel"/>
    <w:tmpl w:val="E99A44CC"/>
    <w:lvl w:ilvl="0">
      <w:start w:val="1"/>
      <w:numFmt w:val="decimal"/>
      <w:lvlText w:val="%1"/>
      <w:lvlJc w:val="left"/>
      <w:pPr>
        <w:ind w:left="465" w:hanging="465"/>
      </w:pPr>
      <w:rPr>
        <w:rFonts w:cs="Times New Roman" w:hint="default"/>
      </w:rPr>
    </w:lvl>
    <w:lvl w:ilvl="1">
      <w:start w:val="5"/>
      <w:numFmt w:val="decimalZero"/>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9BC294F"/>
    <w:multiLevelType w:val="hybridMultilevel"/>
    <w:tmpl w:val="33800692"/>
    <w:lvl w:ilvl="0" w:tplc="6086779C">
      <w:start w:val="1"/>
      <w:numFmt w:val="upperLetter"/>
      <w:lvlText w:val="%1."/>
      <w:lvlJc w:val="left"/>
      <w:pPr>
        <w:ind w:left="1080" w:hanging="540"/>
      </w:pPr>
      <w:rPr>
        <w:rFonts w:hint="default"/>
      </w:rPr>
    </w:lvl>
    <w:lvl w:ilvl="1" w:tplc="0C0C0019">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2" w15:restartNumberingAfterBreak="0">
    <w:nsid w:val="0DA52899"/>
    <w:multiLevelType w:val="multilevel"/>
    <w:tmpl w:val="FF3AE914"/>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D249E9"/>
    <w:multiLevelType w:val="singleLevel"/>
    <w:tmpl w:val="561CF8FA"/>
    <w:lvl w:ilvl="0">
      <w:start w:val="1"/>
      <w:numFmt w:val="upperLetter"/>
      <w:lvlText w:val="%1."/>
      <w:lvlJc w:val="left"/>
      <w:pPr>
        <w:tabs>
          <w:tab w:val="num" w:pos="1260"/>
        </w:tabs>
        <w:ind w:left="1260" w:hanging="540"/>
      </w:pPr>
      <w:rPr>
        <w:rFonts w:hint="default"/>
      </w:rPr>
    </w:lvl>
  </w:abstractNum>
  <w:abstractNum w:abstractNumId="4" w15:restartNumberingAfterBreak="0">
    <w:nsid w:val="1AA97C3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47049B"/>
    <w:multiLevelType w:val="singleLevel"/>
    <w:tmpl w:val="051E966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6D51FD"/>
    <w:multiLevelType w:val="singleLevel"/>
    <w:tmpl w:val="4E22D7B0"/>
    <w:lvl w:ilvl="0">
      <w:start w:val="6"/>
      <w:numFmt w:val="upperLetter"/>
      <w:lvlText w:val="%1."/>
      <w:legacy w:legacy="1" w:legacySpace="0" w:legacyIndent="360"/>
      <w:lvlJc w:val="left"/>
      <w:pPr>
        <w:ind w:left="1080" w:hanging="360"/>
      </w:pPr>
    </w:lvl>
  </w:abstractNum>
  <w:abstractNum w:abstractNumId="7" w15:restartNumberingAfterBreak="0">
    <w:nsid w:val="29B24F1A"/>
    <w:multiLevelType w:val="singleLevel"/>
    <w:tmpl w:val="561CF8FA"/>
    <w:lvl w:ilvl="0">
      <w:start w:val="1"/>
      <w:numFmt w:val="upperLetter"/>
      <w:lvlText w:val="%1."/>
      <w:lvlJc w:val="left"/>
      <w:pPr>
        <w:tabs>
          <w:tab w:val="num" w:pos="1260"/>
        </w:tabs>
        <w:ind w:left="1260" w:hanging="540"/>
      </w:pPr>
      <w:rPr>
        <w:rFonts w:hint="default"/>
      </w:rPr>
    </w:lvl>
  </w:abstractNum>
  <w:abstractNum w:abstractNumId="8" w15:restartNumberingAfterBreak="0">
    <w:nsid w:val="2A140B96"/>
    <w:multiLevelType w:val="singleLevel"/>
    <w:tmpl w:val="3814C760"/>
    <w:lvl w:ilvl="0">
      <w:start w:val="1"/>
      <w:numFmt w:val="upperLetter"/>
      <w:lvlText w:val="%1."/>
      <w:lvlJc w:val="left"/>
      <w:pPr>
        <w:tabs>
          <w:tab w:val="num" w:pos="1260"/>
        </w:tabs>
        <w:ind w:left="1260" w:hanging="540"/>
      </w:pPr>
      <w:rPr>
        <w:rFonts w:hint="default"/>
      </w:rPr>
    </w:lvl>
  </w:abstractNum>
  <w:abstractNum w:abstractNumId="9" w15:restartNumberingAfterBreak="0">
    <w:nsid w:val="2D665666"/>
    <w:multiLevelType w:val="hybridMultilevel"/>
    <w:tmpl w:val="46128C8A"/>
    <w:lvl w:ilvl="0" w:tplc="E046768A">
      <w:start w:val="2"/>
      <w:numFmt w:val="upperLetter"/>
      <w:lvlText w:val="%1."/>
      <w:lvlJc w:val="left"/>
      <w:pPr>
        <w:tabs>
          <w:tab w:val="num" w:pos="2790"/>
        </w:tabs>
        <w:ind w:left="2790" w:hanging="1170"/>
      </w:pPr>
      <w:rPr>
        <w:rFonts w:hint="default"/>
      </w:rPr>
    </w:lvl>
    <w:lvl w:ilvl="1" w:tplc="19C26F4A" w:tentative="1">
      <w:start w:val="1"/>
      <w:numFmt w:val="lowerLetter"/>
      <w:lvlText w:val="%2."/>
      <w:lvlJc w:val="left"/>
      <w:pPr>
        <w:tabs>
          <w:tab w:val="num" w:pos="2700"/>
        </w:tabs>
        <w:ind w:left="2700" w:hanging="360"/>
      </w:pPr>
    </w:lvl>
    <w:lvl w:ilvl="2" w:tplc="E42AE504" w:tentative="1">
      <w:start w:val="1"/>
      <w:numFmt w:val="lowerRoman"/>
      <w:lvlText w:val="%3."/>
      <w:lvlJc w:val="right"/>
      <w:pPr>
        <w:tabs>
          <w:tab w:val="num" w:pos="3420"/>
        </w:tabs>
        <w:ind w:left="3420" w:hanging="180"/>
      </w:pPr>
    </w:lvl>
    <w:lvl w:ilvl="3" w:tplc="69A8D680" w:tentative="1">
      <w:start w:val="1"/>
      <w:numFmt w:val="decimal"/>
      <w:lvlText w:val="%4."/>
      <w:lvlJc w:val="left"/>
      <w:pPr>
        <w:tabs>
          <w:tab w:val="num" w:pos="4140"/>
        </w:tabs>
        <w:ind w:left="4140" w:hanging="360"/>
      </w:pPr>
    </w:lvl>
    <w:lvl w:ilvl="4" w:tplc="985EF7AC" w:tentative="1">
      <w:start w:val="1"/>
      <w:numFmt w:val="lowerLetter"/>
      <w:lvlText w:val="%5."/>
      <w:lvlJc w:val="left"/>
      <w:pPr>
        <w:tabs>
          <w:tab w:val="num" w:pos="4860"/>
        </w:tabs>
        <w:ind w:left="4860" w:hanging="360"/>
      </w:pPr>
    </w:lvl>
    <w:lvl w:ilvl="5" w:tplc="036CA6AE" w:tentative="1">
      <w:start w:val="1"/>
      <w:numFmt w:val="lowerRoman"/>
      <w:lvlText w:val="%6."/>
      <w:lvlJc w:val="right"/>
      <w:pPr>
        <w:tabs>
          <w:tab w:val="num" w:pos="5580"/>
        </w:tabs>
        <w:ind w:left="5580" w:hanging="180"/>
      </w:pPr>
    </w:lvl>
    <w:lvl w:ilvl="6" w:tplc="0E2AE77E" w:tentative="1">
      <w:start w:val="1"/>
      <w:numFmt w:val="decimal"/>
      <w:lvlText w:val="%7."/>
      <w:lvlJc w:val="left"/>
      <w:pPr>
        <w:tabs>
          <w:tab w:val="num" w:pos="6300"/>
        </w:tabs>
        <w:ind w:left="6300" w:hanging="360"/>
      </w:pPr>
    </w:lvl>
    <w:lvl w:ilvl="7" w:tplc="4C640BD0" w:tentative="1">
      <w:start w:val="1"/>
      <w:numFmt w:val="lowerLetter"/>
      <w:lvlText w:val="%8."/>
      <w:lvlJc w:val="left"/>
      <w:pPr>
        <w:tabs>
          <w:tab w:val="num" w:pos="7020"/>
        </w:tabs>
        <w:ind w:left="7020" w:hanging="360"/>
      </w:pPr>
    </w:lvl>
    <w:lvl w:ilvl="8" w:tplc="699636C8" w:tentative="1">
      <w:start w:val="1"/>
      <w:numFmt w:val="lowerRoman"/>
      <w:lvlText w:val="%9."/>
      <w:lvlJc w:val="right"/>
      <w:pPr>
        <w:tabs>
          <w:tab w:val="num" w:pos="7740"/>
        </w:tabs>
        <w:ind w:left="7740" w:hanging="180"/>
      </w:pPr>
    </w:lvl>
  </w:abstractNum>
  <w:abstractNum w:abstractNumId="10" w15:restartNumberingAfterBreak="0">
    <w:nsid w:val="30712770"/>
    <w:multiLevelType w:val="singleLevel"/>
    <w:tmpl w:val="6276A7F4"/>
    <w:lvl w:ilvl="0">
      <w:start w:val="1"/>
      <w:numFmt w:val="decimal"/>
      <w:lvlText w:val="%1."/>
      <w:legacy w:legacy="1" w:legacySpace="0" w:legacyIndent="360"/>
      <w:lvlJc w:val="left"/>
    </w:lvl>
  </w:abstractNum>
  <w:abstractNum w:abstractNumId="11" w15:restartNumberingAfterBreak="0">
    <w:nsid w:val="339A5ED8"/>
    <w:multiLevelType w:val="singleLevel"/>
    <w:tmpl w:val="864EECC8"/>
    <w:lvl w:ilvl="0">
      <w:start w:val="5"/>
      <w:numFmt w:val="upperLetter"/>
      <w:lvlText w:val="%1."/>
      <w:legacy w:legacy="1" w:legacySpace="0" w:legacyIndent="360"/>
      <w:lvlJc w:val="left"/>
    </w:lvl>
  </w:abstractNum>
  <w:abstractNum w:abstractNumId="12" w15:restartNumberingAfterBreak="0">
    <w:nsid w:val="43F26D15"/>
    <w:multiLevelType w:val="multilevel"/>
    <w:tmpl w:val="FF3AE914"/>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3B4927"/>
    <w:multiLevelType w:val="singleLevel"/>
    <w:tmpl w:val="41664946"/>
    <w:lvl w:ilvl="0">
      <w:start w:val="1"/>
      <w:numFmt w:val="upperLetter"/>
      <w:lvlText w:val="%1."/>
      <w:legacy w:legacy="1" w:legacySpace="0" w:legacyIndent="360"/>
      <w:lvlJc w:val="left"/>
    </w:lvl>
  </w:abstractNum>
  <w:abstractNum w:abstractNumId="14" w15:restartNumberingAfterBreak="0">
    <w:nsid w:val="5A28751C"/>
    <w:multiLevelType w:val="singleLevel"/>
    <w:tmpl w:val="1136BFF6"/>
    <w:lvl w:ilvl="0">
      <w:start w:val="1"/>
      <w:numFmt w:val="upperLetter"/>
      <w:lvlText w:val="%1."/>
      <w:lvlJc w:val="left"/>
      <w:pPr>
        <w:tabs>
          <w:tab w:val="num" w:pos="1260"/>
        </w:tabs>
        <w:ind w:left="1260" w:hanging="540"/>
      </w:pPr>
      <w:rPr>
        <w:rFonts w:hint="default"/>
      </w:rPr>
    </w:lvl>
  </w:abstractNum>
  <w:abstractNum w:abstractNumId="15" w15:restartNumberingAfterBreak="0">
    <w:nsid w:val="5FF74E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3714A1"/>
    <w:multiLevelType w:val="multilevel"/>
    <w:tmpl w:val="E99A44CC"/>
    <w:lvl w:ilvl="0">
      <w:start w:val="1"/>
      <w:numFmt w:val="decimal"/>
      <w:lvlText w:val="%1"/>
      <w:lvlJc w:val="left"/>
      <w:pPr>
        <w:ind w:left="465" w:hanging="465"/>
      </w:pPr>
      <w:rPr>
        <w:rFonts w:cs="Times New Roman" w:hint="default"/>
      </w:rPr>
    </w:lvl>
    <w:lvl w:ilvl="1">
      <w:start w:val="5"/>
      <w:numFmt w:val="decimalZero"/>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7D153BA"/>
    <w:multiLevelType w:val="singleLevel"/>
    <w:tmpl w:val="1136BFF6"/>
    <w:lvl w:ilvl="0">
      <w:start w:val="1"/>
      <w:numFmt w:val="upperLetter"/>
      <w:lvlText w:val="%1."/>
      <w:lvlJc w:val="left"/>
      <w:pPr>
        <w:tabs>
          <w:tab w:val="num" w:pos="1260"/>
        </w:tabs>
        <w:ind w:left="1260" w:hanging="540"/>
      </w:pPr>
      <w:rPr>
        <w:rFonts w:hint="default"/>
      </w:rPr>
    </w:lvl>
  </w:abstractNum>
  <w:abstractNum w:abstractNumId="18" w15:restartNumberingAfterBreak="0">
    <w:nsid w:val="783E3006"/>
    <w:multiLevelType w:val="singleLevel"/>
    <w:tmpl w:val="CA8ACBD2"/>
    <w:lvl w:ilvl="0">
      <w:start w:val="4"/>
      <w:numFmt w:val="none"/>
      <w:lvlText w:val="C."/>
      <w:lvlJc w:val="left"/>
      <w:pPr>
        <w:tabs>
          <w:tab w:val="num" w:pos="360"/>
        </w:tabs>
        <w:ind w:left="360" w:hanging="360"/>
      </w:pPr>
    </w:lvl>
  </w:abstractNum>
  <w:num w:numId="1">
    <w:abstractNumId w:val="10"/>
  </w:num>
  <w:num w:numId="2">
    <w:abstractNumId w:val="18"/>
  </w:num>
  <w:num w:numId="3">
    <w:abstractNumId w:val="13"/>
  </w:num>
  <w:num w:numId="4">
    <w:abstractNumId w:val="11"/>
  </w:num>
  <w:num w:numId="5">
    <w:abstractNumId w:val="6"/>
  </w:num>
  <w:num w:numId="6">
    <w:abstractNumId w:val="4"/>
  </w:num>
  <w:num w:numId="7">
    <w:abstractNumId w:val="3"/>
  </w:num>
  <w:num w:numId="8">
    <w:abstractNumId w:val="7"/>
  </w:num>
  <w:num w:numId="9">
    <w:abstractNumId w:val="14"/>
  </w:num>
  <w:num w:numId="10">
    <w:abstractNumId w:val="17"/>
  </w:num>
  <w:num w:numId="11">
    <w:abstractNumId w:val="15"/>
  </w:num>
  <w:num w:numId="12">
    <w:abstractNumId w:val="5"/>
  </w:num>
  <w:num w:numId="13">
    <w:abstractNumId w:val="12"/>
  </w:num>
  <w:num w:numId="14">
    <w:abstractNumId w:val="8"/>
  </w:num>
  <w:num w:numId="15">
    <w:abstractNumId w:val="9"/>
  </w:num>
  <w:num w:numId="16">
    <w:abstractNumId w:val="2"/>
  </w:num>
  <w:num w:numId="17">
    <w:abstractNumId w:val="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718"/>
    <w:rsid w:val="00021EA5"/>
    <w:rsid w:val="00085B4B"/>
    <w:rsid w:val="00095809"/>
    <w:rsid w:val="000A59AB"/>
    <w:rsid w:val="000A7BDC"/>
    <w:rsid w:val="00152206"/>
    <w:rsid w:val="0015766F"/>
    <w:rsid w:val="001B2F8C"/>
    <w:rsid w:val="001B732D"/>
    <w:rsid w:val="001D52E0"/>
    <w:rsid w:val="001E7CC1"/>
    <w:rsid w:val="001F7D10"/>
    <w:rsid w:val="00232FAB"/>
    <w:rsid w:val="00271545"/>
    <w:rsid w:val="002865F7"/>
    <w:rsid w:val="002E4013"/>
    <w:rsid w:val="002F2E10"/>
    <w:rsid w:val="00314A30"/>
    <w:rsid w:val="00366978"/>
    <w:rsid w:val="003F075F"/>
    <w:rsid w:val="00416D47"/>
    <w:rsid w:val="004916CB"/>
    <w:rsid w:val="004B17A7"/>
    <w:rsid w:val="004B421C"/>
    <w:rsid w:val="00511782"/>
    <w:rsid w:val="00564B0F"/>
    <w:rsid w:val="00627D04"/>
    <w:rsid w:val="00653173"/>
    <w:rsid w:val="006A4CC7"/>
    <w:rsid w:val="006B40FA"/>
    <w:rsid w:val="00702AA3"/>
    <w:rsid w:val="007602AB"/>
    <w:rsid w:val="00770B45"/>
    <w:rsid w:val="007827C0"/>
    <w:rsid w:val="007927B4"/>
    <w:rsid w:val="007B703C"/>
    <w:rsid w:val="007E299B"/>
    <w:rsid w:val="007E47DE"/>
    <w:rsid w:val="008444E2"/>
    <w:rsid w:val="008B673D"/>
    <w:rsid w:val="0093154F"/>
    <w:rsid w:val="009868E8"/>
    <w:rsid w:val="00A04C5D"/>
    <w:rsid w:val="00A07C42"/>
    <w:rsid w:val="00A14D7B"/>
    <w:rsid w:val="00A4566E"/>
    <w:rsid w:val="00A63042"/>
    <w:rsid w:val="00A77F23"/>
    <w:rsid w:val="00AB144C"/>
    <w:rsid w:val="00AC7718"/>
    <w:rsid w:val="00B63F5B"/>
    <w:rsid w:val="00B823F8"/>
    <w:rsid w:val="00BB6D95"/>
    <w:rsid w:val="00BC4E44"/>
    <w:rsid w:val="00C45270"/>
    <w:rsid w:val="00C71327"/>
    <w:rsid w:val="00CA70D0"/>
    <w:rsid w:val="00CC2E46"/>
    <w:rsid w:val="00D045C7"/>
    <w:rsid w:val="00DA0C8C"/>
    <w:rsid w:val="00DE7656"/>
    <w:rsid w:val="00E82B6C"/>
    <w:rsid w:val="00E94FC3"/>
    <w:rsid w:val="00EE0ECC"/>
    <w:rsid w:val="00EE5D74"/>
    <w:rsid w:val="00FC63A5"/>
    <w:rsid w:val="00FF3C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7E196"/>
  <w15:chartTrackingRefBased/>
  <w15:docId w15:val="{233C5358-5AB1-4422-92E9-913B2D5C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F7"/>
    <w:rPr>
      <w:sz w:val="26"/>
      <w:lang w:eastAsia="en-US"/>
    </w:rPr>
  </w:style>
  <w:style w:type="paragraph" w:styleId="Heading1">
    <w:name w:val="heading 1"/>
    <w:basedOn w:val="Normal"/>
    <w:next w:val="Normal"/>
    <w:qFormat/>
    <w:pPr>
      <w:keepNext/>
      <w:tabs>
        <w:tab w:val="center" w:pos="4680"/>
      </w:tabs>
      <w:suppressAutoHyphens/>
      <w:jc w:val="center"/>
      <w:outlineLvl w:val="0"/>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tabs>
        <w:tab w:val="left" w:pos="-1440"/>
        <w:tab w:val="left" w:pos="-720"/>
        <w:tab w:val="left" w:pos="1260"/>
        <w:tab w:val="left" w:pos="243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jc w:val="both"/>
    </w:pPr>
    <w:rPr>
      <w:spacing w:val="-3"/>
    </w:rPr>
  </w:style>
  <w:style w:type="paragraph" w:styleId="BodyTextIndent2">
    <w:name w:val="Body Text Indent 2"/>
    <w:basedOn w:val="Normal"/>
    <w:pPr>
      <w:tabs>
        <w:tab w:val="left" w:pos="-1440"/>
        <w:tab w:val="left" w:pos="-720"/>
        <w:tab w:val="left" w:pos="0"/>
        <w:tab w:val="left" w:pos="7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pPr>
    <w:rPr>
      <w:rFonts w:ascii="Arial" w:hAnsi="Arial"/>
      <w:spacing w:val="-3"/>
      <w:sz w:val="20"/>
    </w:rPr>
  </w:style>
  <w:style w:type="paragraph" w:styleId="ListParagraph">
    <w:name w:val="List Paragraph"/>
    <w:basedOn w:val="Normal"/>
    <w:uiPriority w:val="34"/>
    <w:qFormat/>
    <w:rsid w:val="000958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1487</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Traditional Cover Series</vt:lpstr>
    </vt:vector>
  </TitlesOfParts>
  <Company>WBA</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Cover Series</dc:title>
  <dc:subject>Floor Covers- FJC, FJG, FJX, FJF</dc:subject>
  <dc:creator>mathieu.verronneau@mbcc-group.com</dc:creator>
  <cp:keywords/>
  <cp:lastModifiedBy>Verronneau, Mathieu</cp:lastModifiedBy>
  <cp:revision>28</cp:revision>
  <cp:lastPrinted>2002-07-19T23:52:00Z</cp:lastPrinted>
  <dcterms:created xsi:type="dcterms:W3CDTF">2022-09-08T18:32:00Z</dcterms:created>
  <dcterms:modified xsi:type="dcterms:W3CDTF">2022-09-08T19:13:00Z</dcterms:modified>
</cp:coreProperties>
</file>